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27A7D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Додаток № </w:t>
      </w:r>
      <w:r w:rsidR="007A6251" w:rsidRPr="00227A7D">
        <w:rPr>
          <w:b/>
          <w:sz w:val="22"/>
          <w:szCs w:val="22"/>
        </w:rPr>
        <w:t>7</w:t>
      </w:r>
    </w:p>
    <w:p w14:paraId="49F709A3" w14:textId="15951685" w:rsidR="00F566AE" w:rsidRPr="00145797" w:rsidRDefault="00F566AE" w:rsidP="00E074D4">
      <w:pPr>
        <w:ind w:left="4956"/>
        <w:jc w:val="both"/>
        <w:rPr>
          <w:b/>
          <w:sz w:val="20"/>
        </w:rPr>
      </w:pPr>
      <w:r w:rsidRPr="00145797">
        <w:rPr>
          <w:b/>
          <w:sz w:val="20"/>
        </w:rPr>
        <w:t>(нова редакція</w:t>
      </w:r>
      <w:r w:rsidR="00C27833" w:rsidRPr="00145797">
        <w:rPr>
          <w:b/>
          <w:sz w:val="20"/>
        </w:rPr>
        <w:t>,</w:t>
      </w:r>
      <w:r w:rsidRPr="00145797">
        <w:rPr>
          <w:b/>
          <w:sz w:val="20"/>
        </w:rPr>
        <w:t xml:space="preserve"> діє з </w:t>
      </w:r>
      <w:r w:rsidR="00145797" w:rsidRPr="00145797">
        <w:rPr>
          <w:b/>
          <w:sz w:val="20"/>
        </w:rPr>
        <w:t>«</w:t>
      </w:r>
      <w:r w:rsidR="00145797" w:rsidRPr="00145797">
        <w:rPr>
          <w:b/>
          <w:sz w:val="20"/>
          <w:lang w:val="ru-RU"/>
        </w:rPr>
        <w:t>27</w:t>
      </w:r>
      <w:r w:rsidR="00145797" w:rsidRPr="00145797">
        <w:rPr>
          <w:b/>
          <w:sz w:val="20"/>
        </w:rPr>
        <w:t>» серпня 2025 року</w:t>
      </w:r>
    </w:p>
    <w:p w14:paraId="25399BA4" w14:textId="4540335C" w:rsidR="00F566AE" w:rsidRPr="00227A7D" w:rsidRDefault="00F566AE" w:rsidP="00E074D4">
      <w:pPr>
        <w:ind w:left="4956"/>
        <w:jc w:val="both"/>
        <w:rPr>
          <w:b/>
          <w:sz w:val="20"/>
        </w:rPr>
      </w:pPr>
      <w:r w:rsidRPr="00227A7D">
        <w:rPr>
          <w:b/>
          <w:sz w:val="20"/>
        </w:rPr>
        <w:t xml:space="preserve">згідно з рішенням Правління АТ «СКАЙ БАНК» протокол </w:t>
      </w:r>
      <w:r w:rsidR="00145797" w:rsidRPr="004A44C0">
        <w:rPr>
          <w:b/>
          <w:sz w:val="20"/>
        </w:rPr>
        <w:t>№</w:t>
      </w:r>
      <w:r w:rsidR="00145797">
        <w:rPr>
          <w:b/>
          <w:sz w:val="20"/>
        </w:rPr>
        <w:t xml:space="preserve"> </w:t>
      </w:r>
      <w:r w:rsidR="00145797" w:rsidRPr="00145797">
        <w:rPr>
          <w:b/>
          <w:sz w:val="20"/>
        </w:rPr>
        <w:t>79/1 від 28.07.2025 року</w:t>
      </w:r>
      <w:r w:rsidRPr="00227A7D">
        <w:rPr>
          <w:b/>
          <w:sz w:val="20"/>
        </w:rPr>
        <w:t>)</w:t>
      </w:r>
      <w:r w:rsidR="0081180A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до Публічного договору про</w:t>
      </w:r>
      <w:r w:rsidR="00257DF0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Pr="00227A7D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64531968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4"/>
          <w:szCs w:val="24"/>
        </w:rPr>
      </w:pPr>
    </w:p>
    <w:p w14:paraId="32EB57DE" w14:textId="53AA37DB" w:rsidR="00E957EB" w:rsidRPr="00227A7D" w:rsidRDefault="00E957EB" w:rsidP="004C135B">
      <w:pPr>
        <w:spacing w:before="100" w:beforeAutospacing="1" w:after="100" w:afterAutospacing="1"/>
        <w:jc w:val="center"/>
        <w:rPr>
          <w:b/>
          <w:sz w:val="22"/>
          <w:szCs w:val="22"/>
          <w:lang w:val="ru-RU"/>
        </w:rPr>
      </w:pPr>
      <w:r w:rsidRPr="00227A7D">
        <w:rPr>
          <w:b/>
          <w:sz w:val="22"/>
          <w:szCs w:val="22"/>
        </w:rPr>
        <w:t>Тарифний пакет «Інвестиційний»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543"/>
        <w:gridCol w:w="2540"/>
        <w:gridCol w:w="2507"/>
        <w:gridCol w:w="2583"/>
      </w:tblGrid>
      <w:tr w:rsidR="00227A7D" w:rsidRPr="00227A7D" w14:paraId="07E6D414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81C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015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8263" w14:textId="77777777" w:rsidR="00E957EB" w:rsidRPr="00227A7D" w:rsidRDefault="00E957EB" w:rsidP="006A65CA">
            <w:pPr>
              <w:ind w:left="177" w:hanging="177"/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Розмір тарифу  </w:t>
            </w:r>
          </w:p>
        </w:tc>
      </w:tr>
      <w:tr w:rsidR="00D962E6" w:rsidRPr="00227A7D" w14:paraId="79B936BF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BB03" w14:textId="77777777" w:rsidR="00D962E6" w:rsidRPr="00227A7D" w:rsidRDefault="00D962E6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4154" w14:textId="77777777" w:rsidR="00D962E6" w:rsidRPr="00227A7D" w:rsidRDefault="00D962E6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1D3" w14:textId="35CF4D66" w:rsidR="00D962E6" w:rsidRPr="00D962E6" w:rsidRDefault="00D962E6" w:rsidP="00D962E6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proofErr w:type="spellStart"/>
            <w:r w:rsidRPr="00D962E6">
              <w:rPr>
                <w:b/>
                <w:sz w:val="22"/>
                <w:szCs w:val="22"/>
                <w:lang w:eastAsia="uk-UA"/>
              </w:rPr>
              <w:t>Visa</w:t>
            </w:r>
            <w:proofErr w:type="spellEnd"/>
            <w:r w:rsidRPr="00D962E6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962E6">
              <w:rPr>
                <w:b/>
                <w:sz w:val="22"/>
                <w:szCs w:val="22"/>
                <w:lang w:eastAsia="uk-UA"/>
              </w:rPr>
              <w:t>Gold</w:t>
            </w:r>
            <w:proofErr w:type="spellEnd"/>
            <w:r w:rsidRPr="00D962E6">
              <w:rPr>
                <w:b/>
                <w:sz w:val="22"/>
                <w:szCs w:val="22"/>
                <w:lang w:eastAsia="uk-UA"/>
              </w:rPr>
              <w:t xml:space="preserve"> </w:t>
            </w:r>
          </w:p>
          <w:p w14:paraId="7601E5D8" w14:textId="409BC7B9" w:rsidR="00D962E6" w:rsidRPr="00227A7D" w:rsidRDefault="00D962E6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7F6" w14:textId="77777777" w:rsidR="00D962E6" w:rsidRPr="00227A7D" w:rsidRDefault="00D962E6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proofErr w:type="spellStart"/>
            <w:r w:rsidRPr="00227A7D">
              <w:rPr>
                <w:b/>
                <w:sz w:val="22"/>
                <w:szCs w:val="22"/>
                <w:lang w:eastAsia="uk-UA"/>
              </w:rPr>
              <w:t>Visa</w:t>
            </w:r>
            <w:proofErr w:type="spellEnd"/>
            <w:r w:rsidRPr="00227A7D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227A7D">
              <w:rPr>
                <w:b/>
                <w:sz w:val="22"/>
                <w:szCs w:val="22"/>
                <w:lang w:eastAsia="uk-UA"/>
              </w:rPr>
              <w:t>Infinite</w:t>
            </w:r>
            <w:proofErr w:type="spellEnd"/>
          </w:p>
          <w:p w14:paraId="38539649" w14:textId="4CF3BA28" w:rsidR="00D962E6" w:rsidRPr="00227A7D" w:rsidRDefault="00D962E6" w:rsidP="00D962E6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(з безконтактним чипом)</w:t>
            </w:r>
          </w:p>
        </w:tc>
      </w:tr>
      <w:tr w:rsidR="00227A7D" w:rsidRPr="00227A7D" w14:paraId="3ED61BFC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417C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14E1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59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227A7D" w14:paraId="3A68B3F3" w14:textId="77777777" w:rsidTr="00D962E6">
        <w:trPr>
          <w:trHeight w:val="23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675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C4E" w14:textId="0AABDCEB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 основної картки (заміна після завершення її терміну дії) 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6E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1F8AC391" w14:textId="77777777" w:rsidTr="00D962E6">
        <w:trPr>
          <w:trHeight w:val="22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2C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DEE" w14:textId="7D48A489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Щомісячн</w:t>
            </w:r>
            <w:r w:rsidR="00D43BAF" w:rsidRPr="00227A7D">
              <w:rPr>
                <w:sz w:val="22"/>
                <w:szCs w:val="22"/>
                <w:lang w:eastAsia="uk-UA"/>
              </w:rPr>
              <w:t>е</w:t>
            </w:r>
            <w:r w:rsidRPr="00227A7D">
              <w:rPr>
                <w:sz w:val="22"/>
                <w:szCs w:val="22"/>
                <w:lang w:eastAsia="uk-UA"/>
              </w:rPr>
              <w:t xml:space="preserve"> обслуговування картки:</w:t>
            </w:r>
          </w:p>
        </w:tc>
      </w:tr>
      <w:tr w:rsidR="00227A7D" w:rsidRPr="00227A7D" w14:paraId="46A75797" w14:textId="77777777" w:rsidTr="00D962E6">
        <w:trPr>
          <w:trHeight w:val="7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CAF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609E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- в гривні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C6C5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10,00</w:t>
            </w:r>
          </w:p>
          <w:p w14:paraId="1734D80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227A7D">
              <w:rPr>
                <w:sz w:val="22"/>
                <w:szCs w:val="22"/>
                <w:lang w:eastAsia="uk-UA"/>
              </w:rPr>
              <w:t xml:space="preserve"> )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0C55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500,00 (стягується тільки у разі якщо сума операцій в торгівельній мережі не перевищує 25 000,00 гривень в розрахунковому періоді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F359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200,00 (стягується тільки у разі якщо сума операцій в торгівельній мережі не перевищує 5 000,00 гривень в розрахунковому періоді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</w:p>
        </w:tc>
      </w:tr>
      <w:tr w:rsidR="00227A7D" w:rsidRPr="00227A7D" w14:paraId="2A4A712F" w14:textId="77777777" w:rsidTr="00D962E6">
        <w:trPr>
          <w:trHeight w:val="2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A3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9794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- в доларах США, євро 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D11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43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D2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78A91B1C" w14:textId="77777777" w:rsidTr="00D962E6">
        <w:trPr>
          <w:trHeight w:val="2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CFE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6A64" w14:textId="7EE266C0" w:rsidR="00E957EB" w:rsidRPr="00227A7D" w:rsidRDefault="00D43BAF" w:rsidP="006A65CA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Обслуговування </w:t>
            </w:r>
            <w:r w:rsidR="00E957EB" w:rsidRPr="00227A7D">
              <w:rPr>
                <w:sz w:val="22"/>
                <w:szCs w:val="22"/>
                <w:lang w:eastAsia="uk-UA"/>
              </w:rPr>
              <w:t>неактивн</w:t>
            </w:r>
            <w:r w:rsidRPr="00227A7D">
              <w:rPr>
                <w:sz w:val="22"/>
                <w:szCs w:val="22"/>
                <w:lang w:eastAsia="uk-UA"/>
              </w:rPr>
              <w:t>ої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картк</w:t>
            </w:r>
            <w:r w:rsidRPr="00227A7D">
              <w:rPr>
                <w:sz w:val="22"/>
                <w:szCs w:val="22"/>
                <w:lang w:eastAsia="uk-UA"/>
              </w:rPr>
              <w:t>и</w:t>
            </w:r>
            <w:r w:rsidR="00E957EB"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753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10,00 грн. або у сумі залишку на рахунку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891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150,00 грн. або у сумі залишку на рахунку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33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150,00 грн. або у сумі залишку на рахунку</w:t>
            </w:r>
          </w:p>
        </w:tc>
      </w:tr>
      <w:tr w:rsidR="00227A7D" w:rsidRPr="00227A7D" w14:paraId="29CCA980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01F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097" w14:textId="4E8CD9CC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.)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B03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DFD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193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4D2909C5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6EC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1D2" w14:textId="0C8C3F4E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7D1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A2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FB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0E6D6EF5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8A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415" w14:textId="4B6273F6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</w:t>
            </w:r>
            <w:r w:rsidR="00E957EB" w:rsidRPr="00227A7D">
              <w:rPr>
                <w:sz w:val="22"/>
                <w:szCs w:val="22"/>
                <w:lang w:eastAsia="uk-UA"/>
              </w:rPr>
              <w:t>онвертаці</w:t>
            </w:r>
            <w:r w:rsidRPr="00227A7D">
              <w:rPr>
                <w:sz w:val="22"/>
                <w:szCs w:val="22"/>
                <w:lang w:eastAsia="uk-UA"/>
              </w:rPr>
              <w:t>я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валюти (% від суми операції)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E4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D30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0,25%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3A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0,5%</w:t>
            </w:r>
          </w:p>
        </w:tc>
      </w:tr>
      <w:tr w:rsidR="00227A7D" w:rsidRPr="00227A7D" w14:paraId="1B9FA1C4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F3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28F" w14:textId="089013CB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</w:t>
            </w:r>
            <w:r w:rsidR="00E957EB" w:rsidRPr="00227A7D">
              <w:rPr>
                <w:sz w:val="22"/>
                <w:szCs w:val="22"/>
                <w:lang w:eastAsia="uk-UA"/>
              </w:rPr>
              <w:t>родаж іноземної валюти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144F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E28F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9D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грн.</w:t>
            </w:r>
          </w:p>
        </w:tc>
      </w:tr>
      <w:tr w:rsidR="00227A7D" w:rsidRPr="00227A7D" w14:paraId="2063EF21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E1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BF0D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3D8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0E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49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25841DD2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8E0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10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19A9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національній валюті в мережі банкоматів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  <w:r w:rsidRPr="00227A7D">
              <w:rPr>
                <w:sz w:val="22"/>
                <w:szCs w:val="22"/>
                <w:lang w:eastAsia="uk-UA"/>
              </w:rPr>
              <w:t xml:space="preserve">: </w:t>
            </w:r>
          </w:p>
        </w:tc>
      </w:tr>
      <w:tr w:rsidR="00227A7D" w:rsidRPr="00227A7D" w14:paraId="55541CFF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85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31F" w14:textId="77777777" w:rsidR="00E957EB" w:rsidRPr="00227A7D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банків на території України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5243B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 xml:space="preserve">10,00 грн., починаючи з четвертої операції на місяць (перші 3 операції не встановлюється) або якщо сума здійснених операцій в банкоматі в розрахунковому періоді більше ніж 20 000 грн. </w:t>
            </w:r>
          </w:p>
          <w:p w14:paraId="681BA859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додатково 1% у разі, якщо сума здійснених операцій в банкоматі в розрахунковому періоді більше ніж 250 000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5206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 xml:space="preserve">1,3%+5,00 грн. </w:t>
            </w:r>
          </w:p>
          <w:p w14:paraId="5B55750A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та додатково 1% у разі, якщо сума здійснених операцій в банкоматі в розрахунковому періоді більше ніж 250 000 грн.</w:t>
            </w:r>
          </w:p>
          <w:p w14:paraId="7877D7B2" w14:textId="77777777" w:rsidR="00E957EB" w:rsidRPr="003C5ADD" w:rsidRDefault="00E957EB" w:rsidP="006A65CA">
            <w:pPr>
              <w:spacing w:line="360" w:lineRule="auto"/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A6A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0,5%+5,00грн.</w:t>
            </w:r>
          </w:p>
        </w:tc>
      </w:tr>
      <w:tr w:rsidR="00227A7D" w:rsidRPr="00227A7D" w14:paraId="7599F916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05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3B9" w14:textId="77777777" w:rsidR="00E957EB" w:rsidRPr="00227A7D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 АТ «СКАЙ БАНК»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7B1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FB6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1% та</w:t>
            </w:r>
          </w:p>
          <w:p w14:paraId="44D2B515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додатково 1% у разі, якщо сума здійснених операцій в банкоматі в розрахунковому періоді більше ніж 250 000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C28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0,5%</w:t>
            </w:r>
          </w:p>
        </w:tc>
      </w:tr>
      <w:tr w:rsidR="00227A7D" w:rsidRPr="00227A7D" w14:paraId="1730D61A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CA0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9DA7" w14:textId="77777777" w:rsidR="00E957EB" w:rsidRPr="003C5ADD" w:rsidRDefault="00E957EB" w:rsidP="006A65CA">
            <w:pPr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Зняття готівки в мережі POS терміналів</w:t>
            </w:r>
            <w:r w:rsidRPr="003C5ADD">
              <w:rPr>
                <w:bCs/>
                <w:sz w:val="22"/>
                <w:szCs w:val="22"/>
                <w:vertAlign w:val="superscript"/>
                <w:lang w:eastAsia="uk-UA"/>
              </w:rPr>
              <w:t>3</w:t>
            </w:r>
            <w:r w:rsidRPr="003C5ADD">
              <w:rPr>
                <w:bCs/>
                <w:sz w:val="22"/>
                <w:szCs w:val="22"/>
                <w:lang w:eastAsia="uk-UA"/>
              </w:rPr>
              <w:t xml:space="preserve">: </w:t>
            </w:r>
          </w:p>
        </w:tc>
      </w:tr>
      <w:tr w:rsidR="00227A7D" w:rsidRPr="00227A7D" w14:paraId="0F08D18C" w14:textId="77777777" w:rsidTr="00D962E6">
        <w:trPr>
          <w:trHeight w:val="3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736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BC43" w14:textId="1A5406AD" w:rsidR="00E957EB" w:rsidRPr="00227A7D" w:rsidRDefault="00D43BAF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</w:t>
            </w:r>
            <w:r w:rsidR="00E957EB" w:rsidRPr="00227A7D">
              <w:rPr>
                <w:sz w:val="22"/>
                <w:szCs w:val="22"/>
                <w:lang w:eastAsia="uk-UA"/>
              </w:rPr>
              <w:t>анків на території України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36A0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1,5% та</w:t>
            </w:r>
          </w:p>
          <w:p w14:paraId="29BC5B43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додатково 1% у разі, якщо сума здійснених операцій в POS терміналі в розрахунковому періоді більше ніж 250 000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997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1,3%+5,00 грн. та</w:t>
            </w:r>
          </w:p>
          <w:p w14:paraId="0FDF0DF1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додатково 1% у разі, якщо сума здійснених операцій в POS терміналі в розрахунковому періоді більше ніж 250 000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7FFC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1,3%+5,00 грн.</w:t>
            </w:r>
          </w:p>
        </w:tc>
      </w:tr>
      <w:tr w:rsidR="00227A7D" w:rsidRPr="00227A7D" w14:paraId="6F63DA63" w14:textId="77777777" w:rsidTr="00D962E6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AA0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6A91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АТ «СКАЙ БАНК» в гривні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13F8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1%+5,00 грн. та</w:t>
            </w:r>
          </w:p>
          <w:p w14:paraId="5FA1DC05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додатково 1% у разі, якщо сума здійснених операцій в POS терміналі в розрахунковому періоді більше ніж 250 000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9E3B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1%+5,00 грн. та додатково 1% у разі, якщо сума здійснених операцій в POS терміналі в розрахунковому періоді більше ніж 250 000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549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 xml:space="preserve">1%+5,00 грн. </w:t>
            </w:r>
          </w:p>
          <w:p w14:paraId="7A8C31EA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2AB00CDA" w14:textId="77777777" w:rsidTr="00D962E6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5E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11.3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AEC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АТ «СКАЙ БАНК» в доларах США, євро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A830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1% та</w:t>
            </w:r>
          </w:p>
          <w:p w14:paraId="4D3FF4DB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 xml:space="preserve">додатково 1% у разі, якщо сума здійснених операцій в POS терміналі в розрахунковому періоді більше ніж 250 000 в грн. </w:t>
            </w:r>
            <w:proofErr w:type="spellStart"/>
            <w:r w:rsidRPr="003C5ADD">
              <w:rPr>
                <w:bCs/>
                <w:sz w:val="22"/>
                <w:szCs w:val="22"/>
                <w:lang w:eastAsia="uk-UA"/>
              </w:rPr>
              <w:t>екв</w:t>
            </w:r>
            <w:proofErr w:type="spellEnd"/>
            <w:r w:rsidRPr="003C5ADD">
              <w:rPr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50F9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1% та</w:t>
            </w:r>
          </w:p>
          <w:p w14:paraId="2CAC2B03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 xml:space="preserve">додатково 1% у разі, якщо сума здійснених операцій в POS терміналі в розрахунковому періоді більше ніж 250 000 в грн. </w:t>
            </w:r>
            <w:proofErr w:type="spellStart"/>
            <w:r w:rsidRPr="003C5ADD">
              <w:rPr>
                <w:bCs/>
                <w:sz w:val="22"/>
                <w:szCs w:val="22"/>
                <w:lang w:eastAsia="uk-UA"/>
              </w:rPr>
              <w:t>екв</w:t>
            </w:r>
            <w:proofErr w:type="spellEnd"/>
            <w:r w:rsidRPr="003C5ADD">
              <w:rPr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E1A9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65F34F55" w14:textId="77777777" w:rsidTr="00D962E6">
        <w:trPr>
          <w:trHeight w:val="4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D5B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DB79" w14:textId="2490C99B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</w:t>
            </w:r>
            <w:r w:rsidR="00D43BAF" w:rsidRPr="00227A7D">
              <w:rPr>
                <w:sz w:val="22"/>
                <w:szCs w:val="22"/>
                <w:lang w:eastAsia="uk-UA"/>
              </w:rPr>
              <w:t>б</w:t>
            </w:r>
            <w:r w:rsidRPr="00227A7D">
              <w:rPr>
                <w:sz w:val="22"/>
                <w:szCs w:val="22"/>
                <w:lang w:eastAsia="uk-UA"/>
              </w:rPr>
              <w:t xml:space="preserve">анків </w:t>
            </w:r>
            <w:r w:rsidRPr="003C5ADD">
              <w:rPr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6C73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 xml:space="preserve">1,5% </w:t>
            </w:r>
            <w:proofErr w:type="spellStart"/>
            <w:r w:rsidRPr="003C5ADD">
              <w:rPr>
                <w:bCs/>
                <w:sz w:val="22"/>
                <w:szCs w:val="22"/>
                <w:lang w:eastAsia="uk-UA"/>
              </w:rPr>
              <w:t>min</w:t>
            </w:r>
            <w:proofErr w:type="spellEnd"/>
            <w:r w:rsidRPr="003C5ADD">
              <w:rPr>
                <w:bCs/>
                <w:sz w:val="22"/>
                <w:szCs w:val="22"/>
                <w:lang w:eastAsia="uk-UA"/>
              </w:rPr>
              <w:t xml:space="preserve"> 120,00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A29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3C5ADD">
              <w:rPr>
                <w:bCs/>
                <w:sz w:val="22"/>
                <w:szCs w:val="22"/>
                <w:lang w:eastAsia="uk-UA"/>
              </w:rPr>
              <w:t>min</w:t>
            </w:r>
            <w:proofErr w:type="spellEnd"/>
            <w:r w:rsidRPr="003C5ADD">
              <w:rPr>
                <w:bCs/>
                <w:sz w:val="22"/>
                <w:szCs w:val="22"/>
                <w:lang w:eastAsia="uk-UA"/>
              </w:rPr>
              <w:t xml:space="preserve"> 120,00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D67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3C5ADD">
              <w:rPr>
                <w:bCs/>
                <w:sz w:val="22"/>
                <w:szCs w:val="22"/>
                <w:lang w:eastAsia="uk-UA"/>
              </w:rPr>
              <w:t>min</w:t>
            </w:r>
            <w:proofErr w:type="spellEnd"/>
            <w:r w:rsidRPr="003C5ADD">
              <w:rPr>
                <w:bCs/>
                <w:sz w:val="22"/>
                <w:szCs w:val="22"/>
                <w:lang w:eastAsia="uk-UA"/>
              </w:rPr>
              <w:t xml:space="preserve"> 120,00 грн.</w:t>
            </w:r>
          </w:p>
        </w:tc>
      </w:tr>
      <w:tr w:rsidR="00227A7D" w:rsidRPr="00227A7D" w14:paraId="678C6AAA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64B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BAF5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без картки  через касу банку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2EFB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2%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530" w14:textId="77777777" w:rsidR="00E957EB" w:rsidRPr="003C5ADD" w:rsidRDefault="00E957EB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2%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62C2" w14:textId="54B5A761" w:rsidR="0031539C" w:rsidRPr="003C5ADD" w:rsidRDefault="0031539C" w:rsidP="006A65CA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C5ADD">
              <w:rPr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60D9FD29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F2D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DD1" w14:textId="6192FFF8" w:rsidR="00E957EB" w:rsidRPr="00227A7D" w:rsidRDefault="00E957EB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Зарахування безготівкових коштів з іншого </w:t>
            </w:r>
            <w:r w:rsidR="00D43BAF" w:rsidRPr="00227A7D">
              <w:rPr>
                <w:sz w:val="22"/>
                <w:szCs w:val="22"/>
                <w:lang w:eastAsia="uk-UA"/>
              </w:rPr>
              <w:t>б</w:t>
            </w:r>
            <w:r w:rsidRPr="00227A7D">
              <w:rPr>
                <w:sz w:val="22"/>
                <w:szCs w:val="22"/>
                <w:lang w:eastAsia="uk-UA"/>
              </w:rPr>
              <w:t>анку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85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EA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98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08E546CE" w14:textId="77777777" w:rsidTr="00D962E6">
        <w:trPr>
          <w:trHeight w:val="2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06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9F9" w14:textId="5F72C3EE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Платіжні операції (</w:t>
            </w:r>
            <w:r w:rsidR="00E957EB" w:rsidRPr="00227A7D">
              <w:rPr>
                <w:sz w:val="22"/>
                <w:szCs w:val="22"/>
                <w:lang w:eastAsia="uk-UA"/>
              </w:rPr>
              <w:t>переказ коштів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на інші рахунки в межах України за межі Банку по IBAN:</w:t>
            </w:r>
          </w:p>
        </w:tc>
      </w:tr>
      <w:tr w:rsidR="00227A7D" w:rsidRPr="00227A7D" w14:paraId="40203962" w14:textId="77777777" w:rsidTr="00D962E6">
        <w:trPr>
          <w:trHeight w:val="2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9C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D0FA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гривня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B7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15,00 грн.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6D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15,00 грн.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B4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15,00 грн.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500,00 грн</w:t>
            </w:r>
          </w:p>
        </w:tc>
      </w:tr>
      <w:tr w:rsidR="00227A7D" w:rsidRPr="00227A7D" w14:paraId="63EC1722" w14:textId="77777777" w:rsidTr="00D962E6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5F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556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долар США, євро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42F3" w14:textId="77777777" w:rsidR="00E957EB" w:rsidRPr="00227A7D" w:rsidRDefault="00E957EB" w:rsidP="006A65CA">
            <w:pPr>
              <w:jc w:val="center"/>
              <w:rPr>
                <w:strike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600,00 грн.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4E4" w14:textId="77777777" w:rsidR="00E957EB" w:rsidRPr="00227A7D" w:rsidRDefault="00E957EB" w:rsidP="006A65CA">
            <w:pPr>
              <w:jc w:val="center"/>
              <w:rPr>
                <w:strike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600,00 грн.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AF5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600,00 грн. </w:t>
            </w:r>
          </w:p>
        </w:tc>
      </w:tr>
      <w:tr w:rsidR="00227A7D" w:rsidRPr="00227A7D" w14:paraId="6392C51C" w14:textId="77777777" w:rsidTr="00D962E6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99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176" w14:textId="57DB2536" w:rsidR="00E957EB" w:rsidRPr="00227A7D" w:rsidRDefault="00D43BAF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</w:t>
            </w:r>
            <w:r w:rsidR="00E957EB" w:rsidRPr="00227A7D">
              <w:rPr>
                <w:sz w:val="22"/>
                <w:szCs w:val="22"/>
                <w:lang w:eastAsia="uk-UA"/>
              </w:rPr>
              <w:t>тримання P2P переказів з картки на картку</w:t>
            </w:r>
            <w:r w:rsidR="00E957EB" w:rsidRPr="00227A7D">
              <w:rPr>
                <w:sz w:val="22"/>
                <w:szCs w:val="22"/>
                <w:vertAlign w:val="superscript"/>
                <w:lang w:eastAsia="uk-UA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19F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0,5 %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24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D7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3CC96553" w14:textId="77777777" w:rsidTr="00D962E6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3F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17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631" w14:textId="709E549E" w:rsidR="00E957EB" w:rsidRPr="00227A7D" w:rsidRDefault="00D43BAF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</w:t>
            </w:r>
            <w:r w:rsidR="00E957EB" w:rsidRPr="00227A7D">
              <w:rPr>
                <w:sz w:val="22"/>
                <w:szCs w:val="22"/>
                <w:lang w:eastAsia="uk-UA"/>
              </w:rPr>
              <w:t>дійснення P2P переказів з картки на картку</w:t>
            </w:r>
            <w:r w:rsidR="00E957EB" w:rsidRPr="00227A7D">
              <w:rPr>
                <w:sz w:val="22"/>
                <w:szCs w:val="22"/>
                <w:vertAlign w:val="superscript"/>
                <w:lang w:eastAsia="uk-UA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9DC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2B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07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723F404B" w14:textId="77777777" w:rsidTr="00D962E6">
        <w:trPr>
          <w:trHeight w:val="4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7D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50D" w14:textId="6431016F" w:rsidR="00E957EB" w:rsidRPr="00227A7D" w:rsidRDefault="00D43BAF" w:rsidP="006A65CA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3C5ADD">
              <w:rPr>
                <w:sz w:val="22"/>
                <w:szCs w:val="22"/>
                <w:lang w:eastAsia="uk-UA"/>
              </w:rPr>
              <w:t>Р</w:t>
            </w:r>
            <w:r w:rsidR="00E957EB" w:rsidRPr="003C5ADD">
              <w:rPr>
                <w:sz w:val="22"/>
                <w:szCs w:val="22"/>
                <w:lang w:eastAsia="uk-UA"/>
              </w:rPr>
              <w:t>озслідування спірних транзакцій</w:t>
            </w:r>
            <w:r w:rsidR="00E957EB" w:rsidRPr="00227A7D">
              <w:rPr>
                <w:b/>
                <w:bCs/>
                <w:sz w:val="22"/>
                <w:szCs w:val="22"/>
                <w:lang w:eastAsia="uk-UA"/>
              </w:rPr>
              <w:t xml:space="preserve"> (</w:t>
            </w:r>
            <w:r w:rsidR="00E957EB" w:rsidRPr="00227A7D">
              <w:rPr>
                <w:sz w:val="22"/>
                <w:szCs w:val="22"/>
                <w:lang w:eastAsia="uk-UA"/>
              </w:rPr>
              <w:t>Мінімальна сума, що підлягає оскарженню – 50,00 гривень</w:t>
            </w:r>
            <w:r w:rsidR="00E957EB" w:rsidRPr="00227A7D">
              <w:rPr>
                <w:b/>
                <w:bCs/>
                <w:sz w:val="22"/>
                <w:szCs w:val="22"/>
                <w:lang w:eastAsia="uk-UA"/>
              </w:rPr>
              <w:t>):</w:t>
            </w:r>
          </w:p>
        </w:tc>
      </w:tr>
      <w:tr w:rsidR="00227A7D" w:rsidRPr="00227A7D" w14:paraId="0E5C15B8" w14:textId="77777777" w:rsidTr="00D962E6">
        <w:trPr>
          <w:trHeight w:val="6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EB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18.1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B8D" w14:textId="77777777" w:rsidR="00E957EB" w:rsidRPr="00227A7D" w:rsidRDefault="00E957EB" w:rsidP="006A65CA">
            <w:pPr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BF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100,00 грн.</w:t>
            </w:r>
          </w:p>
          <w:p w14:paraId="35E55D7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CB6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100,00 грн.</w:t>
            </w:r>
          </w:p>
          <w:p w14:paraId="196A8C67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136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100,00 грн.</w:t>
            </w:r>
          </w:p>
          <w:p w14:paraId="368B056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5BAB8F53" w14:textId="77777777" w:rsidTr="00D962E6">
        <w:trPr>
          <w:trHeight w:val="104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5A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18.2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DC2" w14:textId="4710E91F" w:rsidR="00E957EB" w:rsidRPr="00227A7D" w:rsidRDefault="00D43BAF" w:rsidP="006A65CA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Унесення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карт</w:t>
            </w:r>
            <w:r w:rsidRPr="00227A7D">
              <w:rPr>
                <w:sz w:val="22"/>
                <w:szCs w:val="22"/>
                <w:lang w:eastAsia="uk-UA"/>
              </w:rPr>
              <w:t>к</w:t>
            </w:r>
            <w:r w:rsidR="00E957EB" w:rsidRPr="00227A7D">
              <w:rPr>
                <w:sz w:val="22"/>
                <w:szCs w:val="22"/>
                <w:lang w:eastAsia="uk-UA"/>
              </w:rPr>
              <w:t>и в міжнародний (паперовий) стоп-лист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77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6CC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00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4675CC8B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3F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263F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Нарахування відсотків по несанкціонованому овердрафту</w:t>
            </w:r>
          </w:p>
          <w:p w14:paraId="6054F2BC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(у разі виникнення)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AD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9258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06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227A7D" w14:paraId="7F634AF2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F8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DFD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Сервіс «Консьєрж-сервіс» від VISA/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MasterCard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(в залежності від типу картки)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2D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передбачено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FD6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E51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41B90A45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5B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9AE4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0A6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+ 5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DC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передбачено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16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+ 10 грн.</w:t>
            </w:r>
          </w:p>
        </w:tc>
      </w:tr>
    </w:tbl>
    <w:p w14:paraId="72CBBF59" w14:textId="77777777" w:rsidR="00E957EB" w:rsidRPr="00227A7D" w:rsidRDefault="00E957EB" w:rsidP="00E957EB">
      <w:pPr>
        <w:rPr>
          <w:sz w:val="20"/>
        </w:rPr>
      </w:pPr>
    </w:p>
    <w:p w14:paraId="0D78B8B7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Розрахунковим періодом вважається </w:t>
      </w:r>
      <w:proofErr w:type="spellStart"/>
      <w:r w:rsidRPr="00227A7D">
        <w:rPr>
          <w:sz w:val="16"/>
          <w:szCs w:val="16"/>
          <w:u w:val="single"/>
        </w:rPr>
        <w:t>білінговий</w:t>
      </w:r>
      <w:proofErr w:type="spellEnd"/>
      <w:r w:rsidRPr="00227A7D">
        <w:rPr>
          <w:sz w:val="16"/>
          <w:szCs w:val="16"/>
          <w:u w:val="single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27A7D">
        <w:rPr>
          <w:sz w:val="16"/>
          <w:szCs w:val="16"/>
          <w:u w:val="single"/>
        </w:rPr>
        <w:t>білінгових</w:t>
      </w:r>
      <w:proofErr w:type="spellEnd"/>
      <w:r w:rsidRPr="00227A7D">
        <w:rPr>
          <w:sz w:val="16"/>
          <w:szCs w:val="16"/>
          <w:u w:val="single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27A7D">
        <w:rPr>
          <w:sz w:val="16"/>
          <w:szCs w:val="16"/>
          <w:u w:val="single"/>
        </w:rPr>
        <w:t>білінгових</w:t>
      </w:r>
      <w:proofErr w:type="spellEnd"/>
      <w:r w:rsidRPr="00227A7D">
        <w:rPr>
          <w:sz w:val="16"/>
          <w:szCs w:val="16"/>
          <w:u w:val="single"/>
        </w:rPr>
        <w:t xml:space="preserve"> процедур.</w:t>
      </w:r>
    </w:p>
    <w:p w14:paraId="6B52EFDD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7C8D1A4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E1F7133" w14:textId="77777777" w:rsidR="00E957EB" w:rsidRPr="00227A7D" w:rsidRDefault="00E957EB" w:rsidP="00E957EB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227A7D" w:rsidRPr="00227A7D" w14:paraId="7C94FBA5" w14:textId="77777777" w:rsidTr="006A65CA">
        <w:tc>
          <w:tcPr>
            <w:tcW w:w="425" w:type="dxa"/>
          </w:tcPr>
          <w:p w14:paraId="3746653B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22A648A6" w14:textId="77777777" w:rsidR="00E957EB" w:rsidRPr="00227A7D" w:rsidRDefault="00E957EB" w:rsidP="006A65C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603DD554" w14:textId="77777777" w:rsidR="00E957EB" w:rsidRPr="00227A7D" w:rsidRDefault="00E957EB" w:rsidP="006A65CA">
            <w:pPr>
              <w:contextualSpacing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3F2DED3A" w14:textId="77777777" w:rsidR="00E957EB" w:rsidRPr="00227A7D" w:rsidRDefault="00E957EB" w:rsidP="006A65C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5FF2B19F" w14:textId="77777777" w:rsidR="00E957EB" w:rsidRPr="00227A7D" w:rsidRDefault="00E957EB" w:rsidP="006A65C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227A7D" w:rsidRPr="00227A7D" w14:paraId="0A6D73A7" w14:textId="77777777" w:rsidTr="006A65CA">
        <w:tc>
          <w:tcPr>
            <w:tcW w:w="425" w:type="dxa"/>
            <w:vMerge w:val="restart"/>
          </w:tcPr>
          <w:p w14:paraId="7A86F5CE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2690CC42" w14:textId="77777777" w:rsidR="00E957EB" w:rsidRPr="00227A7D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Зняття готівки в національній валюті в мережі банкоматів банків на території України</w:t>
            </w:r>
          </w:p>
        </w:tc>
        <w:tc>
          <w:tcPr>
            <w:tcW w:w="1701" w:type="dxa"/>
          </w:tcPr>
          <w:p w14:paraId="1BF8D386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33D78376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DDB2027" w14:textId="77777777" w:rsidR="00E957EB" w:rsidRPr="00227A7D" w:rsidRDefault="00E957EB" w:rsidP="006A65C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* 1,3% + 5 грн. = 655 грн.</w:t>
            </w:r>
          </w:p>
        </w:tc>
      </w:tr>
      <w:tr w:rsidR="00E957EB" w:rsidRPr="00227A7D" w14:paraId="359E12E8" w14:textId="77777777" w:rsidTr="006A65CA">
        <w:tc>
          <w:tcPr>
            <w:tcW w:w="425" w:type="dxa"/>
            <w:vMerge/>
          </w:tcPr>
          <w:p w14:paraId="23FA8E55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33235A" w14:textId="77777777" w:rsidR="00E957EB" w:rsidRPr="00227A7D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E010AE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30ECCD03" w14:textId="77777777" w:rsidR="00E957EB" w:rsidRPr="00227A7D" w:rsidRDefault="00E957EB" w:rsidP="006A65C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781B1DA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210 000 * 1,3% + 5 грн. = 2735 грн.</w:t>
            </w:r>
          </w:p>
          <w:p w14:paraId="1590AFCC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(260 000 – 250 000) * 1% = 10 000 * 1% = 100 грн.</w:t>
            </w:r>
          </w:p>
          <w:p w14:paraId="6AB4D00A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0C48311D" w14:textId="77777777" w:rsidR="00E957EB" w:rsidRPr="00227A7D" w:rsidRDefault="00E957EB" w:rsidP="00E957EB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4890EF6A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7B3D9317" w14:textId="77777777" w:rsidR="00E957EB" w:rsidRPr="00227A7D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сума однієї операції – до 29 999,00 грн. </w:t>
      </w:r>
      <w:proofErr w:type="spellStart"/>
      <w:r w:rsidRPr="00227A7D">
        <w:rPr>
          <w:sz w:val="16"/>
          <w:szCs w:val="16"/>
          <w:u w:val="single"/>
        </w:rPr>
        <w:t>екв</w:t>
      </w:r>
      <w:proofErr w:type="spellEnd"/>
      <w:r w:rsidRPr="00227A7D">
        <w:rPr>
          <w:sz w:val="16"/>
          <w:szCs w:val="16"/>
          <w:u w:val="single"/>
        </w:rPr>
        <w:t>.</w:t>
      </w:r>
    </w:p>
    <w:p w14:paraId="0440D48B" w14:textId="77777777" w:rsidR="00E957EB" w:rsidRPr="00227A7D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сума операцій за місяць – до 399 999,00 грн. </w:t>
      </w:r>
      <w:proofErr w:type="spellStart"/>
      <w:r w:rsidRPr="00227A7D">
        <w:rPr>
          <w:sz w:val="16"/>
          <w:szCs w:val="16"/>
          <w:u w:val="single"/>
        </w:rPr>
        <w:t>екв</w:t>
      </w:r>
      <w:proofErr w:type="spellEnd"/>
      <w:r w:rsidRPr="00227A7D">
        <w:rPr>
          <w:sz w:val="16"/>
          <w:szCs w:val="16"/>
          <w:u w:val="single"/>
        </w:rPr>
        <w:t>.</w:t>
      </w:r>
    </w:p>
    <w:p w14:paraId="46267D49" w14:textId="77777777" w:rsidR="00E957EB" w:rsidRPr="00227A7D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4DA13A7A" w14:textId="77777777" w:rsidR="00E957EB" w:rsidRPr="00227A7D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2898DFA9" w14:textId="77777777" w:rsidR="00E957EB" w:rsidRPr="00227A7D" w:rsidRDefault="00E957EB" w:rsidP="00E957EB">
      <w:pPr>
        <w:autoSpaceDE w:val="0"/>
        <w:spacing w:line="256" w:lineRule="auto"/>
        <w:jc w:val="both"/>
        <w:rPr>
          <w:sz w:val="16"/>
          <w:szCs w:val="16"/>
          <w:u w:val="single"/>
        </w:rPr>
      </w:pPr>
    </w:p>
    <w:p w14:paraId="11168EF8" w14:textId="77777777" w:rsidR="00E53061" w:rsidRPr="00227A7D" w:rsidRDefault="00E53061" w:rsidP="00E53061">
      <w:pPr>
        <w:ind w:firstLine="426"/>
        <w:jc w:val="center"/>
        <w:rPr>
          <w:b/>
          <w:bCs/>
          <w:sz w:val="22"/>
          <w:szCs w:val="22"/>
        </w:rPr>
      </w:pPr>
      <w:r w:rsidRPr="00227A7D">
        <w:rPr>
          <w:b/>
          <w:bCs/>
          <w:sz w:val="22"/>
          <w:szCs w:val="22"/>
        </w:rPr>
        <w:t xml:space="preserve">Рекомендовані </w:t>
      </w:r>
      <w:proofErr w:type="spellStart"/>
      <w:r w:rsidRPr="00227A7D">
        <w:rPr>
          <w:b/>
          <w:bCs/>
          <w:sz w:val="22"/>
          <w:szCs w:val="22"/>
        </w:rPr>
        <w:t>авторизаційні</w:t>
      </w:r>
      <w:proofErr w:type="spellEnd"/>
      <w:r w:rsidRPr="00227A7D">
        <w:rPr>
          <w:b/>
          <w:bCs/>
          <w:sz w:val="22"/>
          <w:szCs w:val="22"/>
        </w:rPr>
        <w:t xml:space="preserve">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417"/>
        <w:gridCol w:w="1417"/>
        <w:gridCol w:w="1418"/>
        <w:gridCol w:w="1418"/>
        <w:gridCol w:w="1417"/>
        <w:gridCol w:w="1418"/>
      </w:tblGrid>
      <w:tr w:rsidR="00227A7D" w:rsidRPr="00D70D49" w14:paraId="34B12D10" w14:textId="77777777" w:rsidTr="00A13A06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1BC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8B8C144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2DB41D8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079C3C7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7A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07E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24CDE5F0" w14:textId="77777777" w:rsidTr="00A13A06">
        <w:trPr>
          <w:trHeight w:val="17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44F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57D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B55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832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48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CE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7CC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45E7574F" w14:textId="77777777" w:rsidTr="00A13A06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02A" w14:textId="77777777" w:rsidR="00E53061" w:rsidRPr="00D70D49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D70D49">
              <w:rPr>
                <w:sz w:val="16"/>
                <w:szCs w:val="16"/>
              </w:rPr>
              <w:t>Visa</w:t>
            </w:r>
            <w:proofErr w:type="spellEnd"/>
            <w:r w:rsidRPr="00D70D49">
              <w:rPr>
                <w:sz w:val="16"/>
                <w:szCs w:val="16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2AB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58C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222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49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218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F3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  <w:tr w:rsidR="00227A7D" w:rsidRPr="00D70D49" w14:paraId="59B1F745" w14:textId="77777777" w:rsidTr="00A13A06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507C" w14:textId="168602D2" w:rsidR="00E53061" w:rsidRPr="00D70D49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D70D49">
              <w:rPr>
                <w:sz w:val="16"/>
                <w:szCs w:val="16"/>
              </w:rPr>
              <w:t>Visa</w:t>
            </w:r>
            <w:proofErr w:type="spellEnd"/>
            <w:r w:rsidRPr="00D70D49">
              <w:rPr>
                <w:sz w:val="16"/>
                <w:szCs w:val="16"/>
              </w:rPr>
              <w:t xml:space="preserve"> </w:t>
            </w:r>
            <w:proofErr w:type="spellStart"/>
            <w:r w:rsidR="00D70D49" w:rsidRPr="00D70D49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D70D49" w:rsidRPr="00D70D49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764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B01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32AF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06D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3B5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F22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429E1297" w14:textId="77777777" w:rsidR="00E53061" w:rsidRPr="00D70D49" w:rsidRDefault="00E53061" w:rsidP="00E53061">
      <w:pPr>
        <w:spacing w:line="240" w:lineRule="atLeast"/>
        <w:rPr>
          <w:sz w:val="16"/>
          <w:szCs w:val="16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411"/>
        <w:gridCol w:w="1432"/>
        <w:gridCol w:w="1418"/>
        <w:gridCol w:w="1417"/>
        <w:gridCol w:w="1455"/>
        <w:gridCol w:w="1380"/>
      </w:tblGrid>
      <w:tr w:rsidR="00227A7D" w:rsidRPr="00D70D49" w14:paraId="2B742251" w14:textId="77777777" w:rsidTr="00A13A06">
        <w:trPr>
          <w:trHeight w:val="517"/>
        </w:trPr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0751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AF18DD0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FDA20CF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E295A2D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33EF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2B8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630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679F850F" w14:textId="77777777" w:rsidTr="00A13A06">
        <w:trPr>
          <w:trHeight w:val="254"/>
        </w:trPr>
        <w:tc>
          <w:tcPr>
            <w:tcW w:w="1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5534C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443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5910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752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52A8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D4E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05B3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00D2DBA7" w14:textId="77777777" w:rsidTr="00A13A06">
        <w:trPr>
          <w:trHeight w:val="271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CEBD" w14:textId="77777777" w:rsidR="00D70D49" w:rsidRPr="00D70D49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D70D49">
              <w:rPr>
                <w:sz w:val="16"/>
                <w:szCs w:val="16"/>
              </w:rPr>
              <w:t>Visa</w:t>
            </w:r>
            <w:proofErr w:type="spellEnd"/>
            <w:r w:rsidRPr="00D70D49">
              <w:rPr>
                <w:sz w:val="16"/>
                <w:szCs w:val="16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</w:rPr>
              <w:t>Infinite</w:t>
            </w:r>
            <w:proofErr w:type="spellEnd"/>
          </w:p>
          <w:p w14:paraId="6DC072E7" w14:textId="4F187B2D" w:rsidR="00D70D49" w:rsidRPr="00D70D49" w:rsidRDefault="00D70D49" w:rsidP="00D70D49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D70D49">
              <w:rPr>
                <w:sz w:val="16"/>
                <w:szCs w:val="16"/>
                <w:lang w:eastAsia="uk-UA"/>
              </w:rPr>
              <w:t>Visa</w:t>
            </w:r>
            <w:proofErr w:type="spellEnd"/>
            <w:r w:rsidRPr="00D70D49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D70D49">
              <w:rPr>
                <w:sz w:val="16"/>
                <w:szCs w:val="16"/>
                <w:lang w:eastAsia="uk-UA"/>
              </w:rPr>
              <w:t xml:space="preserve"> </w:t>
            </w:r>
          </w:p>
          <w:p w14:paraId="0B04FBB0" w14:textId="7271499C" w:rsidR="00E53061" w:rsidRPr="00D70D49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347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063C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046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11F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B2C1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6C48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344152CF" w14:textId="77777777" w:rsidR="00E53061" w:rsidRPr="00D70D49" w:rsidRDefault="00E53061" w:rsidP="00E53061">
      <w:pPr>
        <w:jc w:val="both"/>
        <w:rPr>
          <w:sz w:val="16"/>
          <w:szCs w:val="16"/>
          <w:lang w:val="ru-RU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417"/>
        <w:gridCol w:w="1418"/>
        <w:gridCol w:w="1417"/>
        <w:gridCol w:w="1451"/>
        <w:gridCol w:w="1384"/>
      </w:tblGrid>
      <w:tr w:rsidR="00227A7D" w:rsidRPr="00D70D49" w14:paraId="393BDEDF" w14:textId="77777777" w:rsidTr="00A13A06">
        <w:trPr>
          <w:trHeight w:val="517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B16E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D2DB352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D453798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3727DCA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715E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0BD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6DFB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07C5E475" w14:textId="77777777" w:rsidTr="00A13A06">
        <w:trPr>
          <w:trHeight w:val="25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1DCB1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42C7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82E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34C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AEF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CAF7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3706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40795105" w14:textId="77777777" w:rsidTr="00A13A06">
        <w:trPr>
          <w:trHeight w:val="27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6580" w14:textId="77777777" w:rsidR="00D70D49" w:rsidRPr="00D70D49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D70D49">
              <w:rPr>
                <w:sz w:val="16"/>
                <w:szCs w:val="16"/>
              </w:rPr>
              <w:t>Visa</w:t>
            </w:r>
            <w:proofErr w:type="spellEnd"/>
            <w:r w:rsidRPr="00D70D49">
              <w:rPr>
                <w:sz w:val="16"/>
                <w:szCs w:val="16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</w:rPr>
              <w:t>Infinite</w:t>
            </w:r>
            <w:proofErr w:type="spellEnd"/>
          </w:p>
          <w:p w14:paraId="4DDA18F8" w14:textId="20E9EE33" w:rsidR="00D70D49" w:rsidRPr="00D70D49" w:rsidRDefault="00D70D49" w:rsidP="00D70D49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D70D49">
              <w:rPr>
                <w:sz w:val="16"/>
                <w:szCs w:val="16"/>
                <w:lang w:eastAsia="uk-UA"/>
              </w:rPr>
              <w:t>Visa</w:t>
            </w:r>
            <w:proofErr w:type="spellEnd"/>
            <w:r w:rsidRPr="00D70D49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D70D49">
              <w:rPr>
                <w:sz w:val="16"/>
                <w:szCs w:val="16"/>
                <w:lang w:eastAsia="uk-UA"/>
              </w:rPr>
              <w:t xml:space="preserve"> </w:t>
            </w:r>
          </w:p>
          <w:p w14:paraId="42FCD256" w14:textId="44A52D11" w:rsidR="00E53061" w:rsidRPr="00D70D49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AD3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3BD6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4BE6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712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A4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00C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1CFF6458" w14:textId="77777777" w:rsidR="00504A82" w:rsidRPr="00D70D49" w:rsidRDefault="00504A82" w:rsidP="00AD510B">
      <w:pPr>
        <w:spacing w:line="240" w:lineRule="atLeast"/>
        <w:rPr>
          <w:b/>
          <w:sz w:val="16"/>
          <w:szCs w:val="16"/>
          <w:lang w:val="en-US"/>
        </w:rPr>
      </w:pPr>
    </w:p>
    <w:sectPr w:rsidR="00504A82" w:rsidRPr="00D70D49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EC54" w14:textId="77777777" w:rsidR="00CF2870" w:rsidRDefault="00CF2870">
      <w:r>
        <w:separator/>
      </w:r>
    </w:p>
  </w:endnote>
  <w:endnote w:type="continuationSeparator" w:id="0">
    <w:p w14:paraId="4E6C8666" w14:textId="77777777" w:rsidR="00CF2870" w:rsidRDefault="00CF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27E76" w14:textId="77777777" w:rsidR="00CF2870" w:rsidRDefault="00CF2870">
      <w:r>
        <w:separator/>
      </w:r>
    </w:p>
  </w:footnote>
  <w:footnote w:type="continuationSeparator" w:id="0">
    <w:p w14:paraId="722270CF" w14:textId="77777777" w:rsidR="00CF2870" w:rsidRDefault="00CF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7178940">
    <w:abstractNumId w:val="15"/>
  </w:num>
  <w:num w:numId="2" w16cid:durableId="608197990">
    <w:abstractNumId w:val="15"/>
  </w:num>
  <w:num w:numId="3" w16cid:durableId="746730847">
    <w:abstractNumId w:val="12"/>
  </w:num>
  <w:num w:numId="4" w16cid:durableId="18502917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8876689">
    <w:abstractNumId w:val="33"/>
  </w:num>
  <w:num w:numId="6" w16cid:durableId="12980323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225139">
    <w:abstractNumId w:val="32"/>
  </w:num>
  <w:num w:numId="8" w16cid:durableId="19101183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5195127">
    <w:abstractNumId w:val="31"/>
  </w:num>
  <w:num w:numId="10" w16cid:durableId="2789212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5858057">
    <w:abstractNumId w:val="23"/>
  </w:num>
  <w:num w:numId="12" w16cid:durableId="15445585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0573141">
    <w:abstractNumId w:val="15"/>
  </w:num>
  <w:num w:numId="14" w16cid:durableId="152526021">
    <w:abstractNumId w:val="29"/>
  </w:num>
  <w:num w:numId="15" w16cid:durableId="1715156407">
    <w:abstractNumId w:val="21"/>
  </w:num>
  <w:num w:numId="16" w16cid:durableId="1247188">
    <w:abstractNumId w:val="27"/>
  </w:num>
  <w:num w:numId="17" w16cid:durableId="1000430374">
    <w:abstractNumId w:val="6"/>
  </w:num>
  <w:num w:numId="18" w16cid:durableId="475152174">
    <w:abstractNumId w:val="3"/>
  </w:num>
  <w:num w:numId="19" w16cid:durableId="527715809">
    <w:abstractNumId w:val="10"/>
  </w:num>
  <w:num w:numId="20" w16cid:durableId="1098790221">
    <w:abstractNumId w:val="18"/>
  </w:num>
  <w:num w:numId="21" w16cid:durableId="1021010838">
    <w:abstractNumId w:val="3"/>
  </w:num>
  <w:num w:numId="22" w16cid:durableId="19859661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98426">
    <w:abstractNumId w:val="30"/>
  </w:num>
  <w:num w:numId="24" w16cid:durableId="31928309">
    <w:abstractNumId w:val="13"/>
  </w:num>
  <w:num w:numId="25" w16cid:durableId="1454013235">
    <w:abstractNumId w:val="4"/>
  </w:num>
  <w:num w:numId="26" w16cid:durableId="1402364305">
    <w:abstractNumId w:val="19"/>
  </w:num>
  <w:num w:numId="27" w16cid:durableId="94523597">
    <w:abstractNumId w:val="7"/>
  </w:num>
  <w:num w:numId="28" w16cid:durableId="1968507251">
    <w:abstractNumId w:val="24"/>
  </w:num>
  <w:num w:numId="29" w16cid:durableId="135731850">
    <w:abstractNumId w:val="28"/>
  </w:num>
  <w:num w:numId="30" w16cid:durableId="408576318">
    <w:abstractNumId w:val="2"/>
  </w:num>
  <w:num w:numId="31" w16cid:durableId="946351861">
    <w:abstractNumId w:val="17"/>
  </w:num>
  <w:num w:numId="32" w16cid:durableId="1990207730">
    <w:abstractNumId w:val="11"/>
  </w:num>
  <w:num w:numId="33" w16cid:durableId="1603221512">
    <w:abstractNumId w:val="14"/>
  </w:num>
  <w:num w:numId="34" w16cid:durableId="2072649186">
    <w:abstractNumId w:val="35"/>
  </w:num>
  <w:num w:numId="35" w16cid:durableId="1786270921">
    <w:abstractNumId w:val="34"/>
  </w:num>
  <w:num w:numId="36" w16cid:durableId="1190949879">
    <w:abstractNumId w:val="20"/>
  </w:num>
  <w:num w:numId="37" w16cid:durableId="10653696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9504440">
    <w:abstractNumId w:val="0"/>
  </w:num>
  <w:num w:numId="39" w16cid:durableId="1384715525">
    <w:abstractNumId w:val="9"/>
  </w:num>
  <w:num w:numId="40" w16cid:durableId="626471154">
    <w:abstractNumId w:val="25"/>
  </w:num>
  <w:num w:numId="41" w16cid:durableId="1135564757">
    <w:abstractNumId w:val="26"/>
  </w:num>
  <w:num w:numId="42" w16cid:durableId="188033962">
    <w:abstractNumId w:val="22"/>
  </w:num>
  <w:num w:numId="43" w16cid:durableId="1101873289">
    <w:abstractNumId w:val="8"/>
  </w:num>
  <w:num w:numId="44" w16cid:durableId="2025931862">
    <w:abstractNumId w:val="16"/>
  </w:num>
  <w:num w:numId="45" w16cid:durableId="2029602327">
    <w:abstractNumId w:val="5"/>
  </w:num>
  <w:num w:numId="46" w16cid:durableId="1207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F23F5"/>
    <w:rsid w:val="000F2AEE"/>
    <w:rsid w:val="0010254E"/>
    <w:rsid w:val="001139B0"/>
    <w:rsid w:val="00115B7C"/>
    <w:rsid w:val="001166D9"/>
    <w:rsid w:val="0011736D"/>
    <w:rsid w:val="00124F1C"/>
    <w:rsid w:val="0013297E"/>
    <w:rsid w:val="0014133A"/>
    <w:rsid w:val="00145797"/>
    <w:rsid w:val="001510DE"/>
    <w:rsid w:val="001552DE"/>
    <w:rsid w:val="0015564C"/>
    <w:rsid w:val="00171C81"/>
    <w:rsid w:val="00173CCE"/>
    <w:rsid w:val="00175683"/>
    <w:rsid w:val="0018690D"/>
    <w:rsid w:val="00194684"/>
    <w:rsid w:val="001A4B15"/>
    <w:rsid w:val="001B3759"/>
    <w:rsid w:val="001B539A"/>
    <w:rsid w:val="001C016F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C5ADD"/>
    <w:rsid w:val="003C79AA"/>
    <w:rsid w:val="003D6600"/>
    <w:rsid w:val="003F7124"/>
    <w:rsid w:val="00417BD0"/>
    <w:rsid w:val="0042385E"/>
    <w:rsid w:val="00426625"/>
    <w:rsid w:val="00464ADC"/>
    <w:rsid w:val="00495D65"/>
    <w:rsid w:val="004A4B44"/>
    <w:rsid w:val="004A5175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E5215"/>
    <w:rsid w:val="006F1CF4"/>
    <w:rsid w:val="006F5A85"/>
    <w:rsid w:val="00700AAA"/>
    <w:rsid w:val="00710093"/>
    <w:rsid w:val="0071427B"/>
    <w:rsid w:val="007240CB"/>
    <w:rsid w:val="00764574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086C"/>
    <w:rsid w:val="00855881"/>
    <w:rsid w:val="00873841"/>
    <w:rsid w:val="00897535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19AC"/>
    <w:rsid w:val="009432EF"/>
    <w:rsid w:val="009438F2"/>
    <w:rsid w:val="00972D8B"/>
    <w:rsid w:val="009A52D5"/>
    <w:rsid w:val="009B5FD5"/>
    <w:rsid w:val="009B7E3B"/>
    <w:rsid w:val="009C6322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4714C"/>
    <w:rsid w:val="00A501D3"/>
    <w:rsid w:val="00A54899"/>
    <w:rsid w:val="00A637E8"/>
    <w:rsid w:val="00A645D4"/>
    <w:rsid w:val="00A670FD"/>
    <w:rsid w:val="00A72A79"/>
    <w:rsid w:val="00A73205"/>
    <w:rsid w:val="00A76283"/>
    <w:rsid w:val="00A8000B"/>
    <w:rsid w:val="00A85919"/>
    <w:rsid w:val="00A863A9"/>
    <w:rsid w:val="00AA62D7"/>
    <w:rsid w:val="00AC7E5C"/>
    <w:rsid w:val="00AD510B"/>
    <w:rsid w:val="00AD6034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B3866"/>
    <w:rsid w:val="00BB5C75"/>
    <w:rsid w:val="00BB7703"/>
    <w:rsid w:val="00BC0310"/>
    <w:rsid w:val="00BC6F3F"/>
    <w:rsid w:val="00C01FAE"/>
    <w:rsid w:val="00C02B4D"/>
    <w:rsid w:val="00C1074F"/>
    <w:rsid w:val="00C12C5A"/>
    <w:rsid w:val="00C27833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2870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0A3F"/>
    <w:rsid w:val="00D91B12"/>
    <w:rsid w:val="00D95E77"/>
    <w:rsid w:val="00D962E6"/>
    <w:rsid w:val="00DA285A"/>
    <w:rsid w:val="00DC0CE3"/>
    <w:rsid w:val="00DD38F5"/>
    <w:rsid w:val="00DE0A68"/>
    <w:rsid w:val="00DE67FA"/>
    <w:rsid w:val="00DF22F9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8414C"/>
    <w:rsid w:val="00E957EB"/>
    <w:rsid w:val="00E96C0C"/>
    <w:rsid w:val="00ED2875"/>
    <w:rsid w:val="00ED6A19"/>
    <w:rsid w:val="00EE24C5"/>
    <w:rsid w:val="00EE7372"/>
    <w:rsid w:val="00EF6D07"/>
    <w:rsid w:val="00F11E63"/>
    <w:rsid w:val="00F15999"/>
    <w:rsid w:val="00F222C4"/>
    <w:rsid w:val="00F22DF9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1301</Words>
  <Characters>6913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5</cp:revision>
  <dcterms:created xsi:type="dcterms:W3CDTF">2025-01-13T08:49:00Z</dcterms:created>
  <dcterms:modified xsi:type="dcterms:W3CDTF">2025-08-15T11:53:00Z</dcterms:modified>
</cp:coreProperties>
</file>