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1139B0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1139B0">
        <w:rPr>
          <w:b/>
          <w:sz w:val="22"/>
          <w:szCs w:val="22"/>
        </w:rPr>
        <w:t xml:space="preserve">Додаток № </w:t>
      </w:r>
      <w:r w:rsidR="007A6251" w:rsidRPr="001139B0">
        <w:rPr>
          <w:b/>
          <w:sz w:val="22"/>
          <w:szCs w:val="22"/>
        </w:rPr>
        <w:t>7</w:t>
      </w:r>
    </w:p>
    <w:p w14:paraId="49F709A3" w14:textId="1B1CEF93" w:rsidR="00F566AE" w:rsidRPr="001139B0" w:rsidRDefault="00F566AE" w:rsidP="00E074D4">
      <w:pPr>
        <w:ind w:left="4956"/>
        <w:jc w:val="both"/>
        <w:rPr>
          <w:b/>
          <w:sz w:val="20"/>
          <w:u w:val="single"/>
        </w:rPr>
      </w:pPr>
      <w:r w:rsidRPr="001139B0">
        <w:rPr>
          <w:b/>
          <w:sz w:val="20"/>
          <w:u w:val="single"/>
        </w:rPr>
        <w:t>(нова редакція діє з «</w:t>
      </w:r>
      <w:r w:rsidR="00AA62D7" w:rsidRPr="001139B0">
        <w:rPr>
          <w:b/>
          <w:sz w:val="20"/>
          <w:u w:val="single"/>
        </w:rPr>
        <w:t>01</w:t>
      </w:r>
      <w:r w:rsidRPr="001139B0">
        <w:rPr>
          <w:b/>
          <w:sz w:val="20"/>
          <w:u w:val="single"/>
        </w:rPr>
        <w:t>»</w:t>
      </w:r>
      <w:r w:rsidR="0022461D" w:rsidRPr="001139B0">
        <w:rPr>
          <w:b/>
          <w:sz w:val="20"/>
          <w:u w:val="single"/>
        </w:rPr>
        <w:t xml:space="preserve"> </w:t>
      </w:r>
      <w:r w:rsidR="00AA62D7" w:rsidRPr="001139B0">
        <w:rPr>
          <w:b/>
          <w:sz w:val="20"/>
          <w:u w:val="single"/>
        </w:rPr>
        <w:t>липня</w:t>
      </w:r>
      <w:r w:rsidR="00A501D3" w:rsidRPr="001139B0">
        <w:rPr>
          <w:b/>
          <w:sz w:val="20"/>
          <w:u w:val="single"/>
        </w:rPr>
        <w:t xml:space="preserve"> </w:t>
      </w:r>
      <w:r w:rsidRPr="001139B0">
        <w:rPr>
          <w:b/>
          <w:sz w:val="20"/>
          <w:u w:val="single"/>
        </w:rPr>
        <w:t>20</w:t>
      </w:r>
      <w:r w:rsidR="0022461D" w:rsidRPr="001139B0">
        <w:rPr>
          <w:b/>
          <w:sz w:val="20"/>
          <w:u w:val="single"/>
        </w:rPr>
        <w:t>2</w:t>
      </w:r>
      <w:r w:rsidR="00426625" w:rsidRPr="001139B0">
        <w:rPr>
          <w:b/>
          <w:sz w:val="20"/>
          <w:u w:val="single"/>
        </w:rPr>
        <w:t>1</w:t>
      </w:r>
      <w:r w:rsidRPr="001139B0">
        <w:rPr>
          <w:b/>
          <w:sz w:val="20"/>
          <w:u w:val="single"/>
        </w:rPr>
        <w:t>р.</w:t>
      </w:r>
    </w:p>
    <w:p w14:paraId="25399BA4" w14:textId="2AC45F5F" w:rsidR="00F566AE" w:rsidRPr="001139B0" w:rsidRDefault="00F566AE" w:rsidP="00E074D4">
      <w:pPr>
        <w:ind w:left="4956"/>
        <w:jc w:val="both"/>
        <w:rPr>
          <w:b/>
          <w:sz w:val="20"/>
        </w:rPr>
      </w:pPr>
      <w:r w:rsidRPr="001139B0">
        <w:rPr>
          <w:b/>
          <w:sz w:val="20"/>
        </w:rPr>
        <w:t xml:space="preserve">згідно з рішенням Правління АТ «СКАЙ БАНК» протокол № </w:t>
      </w:r>
      <w:r w:rsidR="00AA62D7" w:rsidRPr="001139B0">
        <w:rPr>
          <w:b/>
          <w:sz w:val="20"/>
        </w:rPr>
        <w:t>54</w:t>
      </w:r>
      <w:r w:rsidR="005A537D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від «</w:t>
      </w:r>
      <w:r w:rsidR="00AA62D7" w:rsidRPr="001139B0">
        <w:rPr>
          <w:b/>
          <w:sz w:val="20"/>
        </w:rPr>
        <w:t>28</w:t>
      </w:r>
      <w:r w:rsidRPr="001139B0">
        <w:rPr>
          <w:b/>
          <w:sz w:val="20"/>
        </w:rPr>
        <w:t xml:space="preserve">» </w:t>
      </w:r>
      <w:r w:rsidR="00AA62D7" w:rsidRPr="001139B0">
        <w:rPr>
          <w:b/>
          <w:sz w:val="20"/>
        </w:rPr>
        <w:t>травня</w:t>
      </w:r>
      <w:r w:rsidR="002560E9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20</w:t>
      </w:r>
      <w:r w:rsidR="007A6251" w:rsidRPr="001139B0">
        <w:rPr>
          <w:b/>
          <w:sz w:val="20"/>
        </w:rPr>
        <w:t>2</w:t>
      </w:r>
      <w:r w:rsidR="00202E41" w:rsidRPr="001139B0">
        <w:rPr>
          <w:b/>
          <w:sz w:val="20"/>
        </w:rPr>
        <w:t>1</w:t>
      </w:r>
      <w:r w:rsidRPr="001139B0">
        <w:rPr>
          <w:b/>
          <w:sz w:val="20"/>
        </w:rPr>
        <w:t>р.)</w:t>
      </w:r>
      <w:r w:rsidR="0081180A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до Публічного договору про</w:t>
      </w:r>
      <w:r w:rsidR="00257DF0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1139B0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1139B0" w:rsidRDefault="00F566AE" w:rsidP="00F566AE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>Т А Р И Ф И</w:t>
      </w:r>
    </w:p>
    <w:p w14:paraId="4B43120C" w14:textId="083DD246" w:rsidR="00D1043A" w:rsidRPr="001139B0" w:rsidRDefault="00F566AE" w:rsidP="00AC7E5C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 xml:space="preserve">на відкриття та обслуговування </w:t>
      </w:r>
      <w:r w:rsidR="001B3759" w:rsidRPr="001139B0">
        <w:rPr>
          <w:b/>
          <w:szCs w:val="28"/>
        </w:rPr>
        <w:t>поточних</w:t>
      </w:r>
      <w:r w:rsidRPr="001139B0">
        <w:rPr>
          <w:b/>
          <w:szCs w:val="28"/>
        </w:rPr>
        <w:t xml:space="preserve"> рахунків фізичних</w:t>
      </w:r>
      <w:r w:rsidR="00AC7E5C" w:rsidRPr="001139B0">
        <w:rPr>
          <w:b/>
          <w:szCs w:val="28"/>
        </w:rPr>
        <w:t xml:space="preserve"> </w:t>
      </w:r>
      <w:r w:rsidRPr="001139B0">
        <w:rPr>
          <w:b/>
          <w:szCs w:val="28"/>
        </w:rPr>
        <w:t>осіб</w:t>
      </w:r>
      <w:r w:rsidR="00AC7E5C" w:rsidRPr="001139B0">
        <w:rPr>
          <w:b/>
          <w:szCs w:val="28"/>
        </w:rPr>
        <w:t xml:space="preserve"> </w:t>
      </w:r>
      <w:r w:rsidR="001B3759" w:rsidRPr="001139B0">
        <w:rPr>
          <w:b/>
          <w:szCs w:val="28"/>
        </w:rPr>
        <w:t>АТ «СКАЙ БАНК» з використанням платіжної картки</w:t>
      </w:r>
      <w:r w:rsidR="00D1043A" w:rsidRPr="001139B0">
        <w:rPr>
          <w:b/>
          <w:szCs w:val="28"/>
        </w:rPr>
        <w:t xml:space="preserve"> </w:t>
      </w:r>
    </w:p>
    <w:p w14:paraId="0CB94C21" w14:textId="77777777" w:rsidR="00504A82" w:rsidRPr="00504A82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504A82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504A82">
        <w:rPr>
          <w:b/>
          <w:sz w:val="24"/>
          <w:szCs w:val="24"/>
        </w:rPr>
        <w:t xml:space="preserve">Тарифний пакет </w:t>
      </w:r>
      <w:r w:rsidRPr="00504A82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504A82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504A82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504A82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Visa Classic з чипом (іменна) / MC Debit World (іменна)</w:t>
            </w:r>
          </w:p>
        </w:tc>
      </w:tr>
      <w:tr w:rsidR="00504A82" w:rsidRPr="00504A82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504A82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CB31CE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504A82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504A82" w:rsidRPr="00504A82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CB31CE" w:rsidRDefault="001925EF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CB31CE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CB31CE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 30 грн. або у сумі залишку на рахунку </w:t>
            </w:r>
          </w:p>
        </w:tc>
      </w:tr>
      <w:tr w:rsidR="00504A82" w:rsidRPr="00504A82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60 грн.</w:t>
            </w:r>
          </w:p>
        </w:tc>
      </w:tr>
      <w:tr w:rsidR="00504A82" w:rsidRPr="00504A82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10 грн.</w:t>
            </w:r>
          </w:p>
        </w:tc>
      </w:tr>
      <w:tr w:rsidR="00504A82" w:rsidRPr="00504A82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1%</w:t>
            </w:r>
          </w:p>
        </w:tc>
      </w:tr>
      <w:tr w:rsidR="00504A82" w:rsidRPr="00504A82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504A82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504A82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504A82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504A82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504A82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504A82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CB31CE" w:rsidRDefault="00504A82" w:rsidP="00504A82">
            <w:pPr>
              <w:jc w:val="both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504A82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1%+5 грн.</w:t>
            </w:r>
          </w:p>
        </w:tc>
      </w:tr>
      <w:tr w:rsidR="00504A82" w:rsidRPr="00504A82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2% min 50 грн.</w:t>
            </w:r>
          </w:p>
        </w:tc>
      </w:tr>
      <w:tr w:rsidR="00504A82" w:rsidRPr="00504A82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до 20 000,00 грн. - 0,1%;  від 20 000,01 грн. -0,5% </w:t>
            </w:r>
          </w:p>
        </w:tc>
      </w:tr>
      <w:tr w:rsidR="00504A82" w:rsidRPr="00504A82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1% + 5 грн.</w:t>
            </w:r>
          </w:p>
        </w:tc>
      </w:tr>
      <w:tr w:rsidR="00504A82" w:rsidRPr="00504A82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504A82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504A82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CB31CE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504A82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504A82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до 50 000,00 грн. -  10 грн., від 50 000,01 в гривні - 0,3% від суми max 2 000 UAH; в USD/EUR -  0,5% мін. екв. 20 USD макс. екв. 500 USD</w:t>
            </w:r>
          </w:p>
        </w:tc>
      </w:tr>
      <w:tr w:rsidR="00504A82" w:rsidRPr="00504A82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CB31CE" w:rsidRDefault="00504A82" w:rsidP="00504A82">
            <w:pPr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504A82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50 грн.</w:t>
            </w:r>
          </w:p>
        </w:tc>
      </w:tr>
      <w:tr w:rsidR="00504A82" w:rsidRPr="00504A82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CB31CE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CB31CE">
              <w:rPr>
                <w:sz w:val="20"/>
                <w:lang w:eastAsia="uk-UA"/>
              </w:rPr>
              <w:t xml:space="preserve"> Включено у вартість обслуговування</w:t>
            </w:r>
          </w:p>
        </w:tc>
      </w:tr>
      <w:tr w:rsidR="00504A82" w:rsidRPr="00504A82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100 грн.</w:t>
            </w:r>
          </w:p>
        </w:tc>
      </w:tr>
      <w:tr w:rsidR="00504A82" w:rsidRPr="00504A82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504A82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100 грн.</w:t>
            </w:r>
          </w:p>
        </w:tc>
      </w:tr>
      <w:tr w:rsidR="00504A82" w:rsidRPr="00504A82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504A82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504A82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504A82" w:rsidRDefault="001925EF" w:rsidP="00504A82">
            <w:pPr>
              <w:rPr>
                <w:sz w:val="20"/>
              </w:rPr>
            </w:pPr>
            <w:hyperlink r:id="rId10" w:anchor="RANGE!_ftn2" w:history="1">
              <w:r w:rsidR="00504A82" w:rsidRPr="00504A82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504A82">
              <w:rPr>
                <w:sz w:val="20"/>
                <w:lang w:eastAsia="uk-UA"/>
              </w:rPr>
              <w:t xml:space="preserve">, </w:t>
            </w:r>
            <w:r w:rsidR="00504A82" w:rsidRPr="00504A82">
              <w:rPr>
                <w:sz w:val="20"/>
              </w:rPr>
              <w:t>в залежності від суми залишку, річних</w:t>
            </w:r>
            <w:r w:rsidR="00504A82" w:rsidRPr="00504A82">
              <w:rPr>
                <w:sz w:val="16"/>
                <w:szCs w:val="16"/>
                <w:vertAlign w:val="superscript"/>
              </w:rPr>
              <w:t>4</w:t>
            </w:r>
            <w:r w:rsidR="00504A82" w:rsidRPr="00504A82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504A82" w14:paraId="1378D73D" w14:textId="77777777" w:rsidTr="006A65CA">
        <w:trPr>
          <w:trHeight w:val="398"/>
        </w:trPr>
        <w:tc>
          <w:tcPr>
            <w:tcW w:w="4678" w:type="dxa"/>
            <w:shd w:val="clear" w:color="auto" w:fill="auto"/>
            <w:vAlign w:val="center"/>
            <w:hideMark/>
          </w:tcPr>
          <w:p w14:paraId="319912C2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87173EB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0%</w:t>
            </w:r>
          </w:p>
        </w:tc>
      </w:tr>
      <w:tr w:rsidR="00504A82" w:rsidRPr="00504A82" w14:paraId="32159205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1DE602F9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C0CCCB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2%</w:t>
            </w:r>
          </w:p>
        </w:tc>
      </w:tr>
      <w:tr w:rsidR="00504A82" w:rsidRPr="00504A82" w14:paraId="5E4C4383" w14:textId="77777777" w:rsidTr="006A65CA">
        <w:trPr>
          <w:trHeight w:val="30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8F9CFE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086613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5%</w:t>
            </w:r>
          </w:p>
        </w:tc>
      </w:tr>
    </w:tbl>
    <w:p w14:paraId="2EC6D757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504A82">
        <w:rPr>
          <w:sz w:val="16"/>
          <w:szCs w:val="16"/>
          <w:vertAlign w:val="superscript"/>
        </w:rPr>
        <w:t>1</w:t>
      </w:r>
      <w:r w:rsidRPr="00504A82">
        <w:rPr>
          <w:sz w:val="16"/>
          <w:szCs w:val="16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6628304" w14:textId="77777777" w:rsidR="00504A82" w:rsidRPr="00504A82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504A82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504A82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504A82" w:rsidRDefault="00504A82" w:rsidP="00504A82">
      <w:pPr>
        <w:autoSpaceDE w:val="0"/>
        <w:jc w:val="both"/>
        <w:rPr>
          <w:sz w:val="16"/>
          <w:szCs w:val="16"/>
        </w:rPr>
      </w:pPr>
    </w:p>
    <w:p w14:paraId="6562206D" w14:textId="77777777" w:rsidR="00504A82" w:rsidRPr="00504A82" w:rsidRDefault="00504A82" w:rsidP="00504A82">
      <w:pPr>
        <w:autoSpaceDE w:val="0"/>
        <w:jc w:val="both"/>
        <w:rPr>
          <w:sz w:val="16"/>
          <w:szCs w:val="16"/>
        </w:rPr>
      </w:pPr>
    </w:p>
    <w:p w14:paraId="0082EADD" w14:textId="77777777" w:rsidR="00504A82" w:rsidRPr="00504A82" w:rsidRDefault="00504A82" w:rsidP="00504A82">
      <w:pPr>
        <w:ind w:firstLine="426"/>
        <w:jc w:val="center"/>
        <w:rPr>
          <w:sz w:val="20"/>
        </w:rPr>
      </w:pPr>
      <w:r w:rsidRPr="00504A82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3978DE07" w14:textId="77777777" w:rsidR="00504A82" w:rsidRPr="00504A82" w:rsidRDefault="00504A82" w:rsidP="00504A82">
      <w:pPr>
        <w:ind w:firstLine="426"/>
        <w:jc w:val="center"/>
        <w:rPr>
          <w:sz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60"/>
        <w:gridCol w:w="1417"/>
        <w:gridCol w:w="1418"/>
        <w:gridCol w:w="1417"/>
      </w:tblGrid>
      <w:tr w:rsidR="00504A82" w:rsidRPr="00504A82" w14:paraId="29A46646" w14:textId="77777777" w:rsidTr="006A65CA">
        <w:trPr>
          <w:trHeight w:val="517"/>
        </w:trPr>
        <w:tc>
          <w:tcPr>
            <w:tcW w:w="1702" w:type="dxa"/>
            <w:vMerge w:val="restart"/>
            <w:shd w:val="clear" w:color="auto" w:fill="auto"/>
          </w:tcPr>
          <w:p w14:paraId="6CEA7FCB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7B357E76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4E416E7A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3F3810AB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4E43B7F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CB6D00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21681F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504A82" w:rsidRPr="00504A82" w14:paraId="7A688498" w14:textId="77777777" w:rsidTr="006A65CA">
        <w:trPr>
          <w:trHeight w:val="305"/>
        </w:trPr>
        <w:tc>
          <w:tcPr>
            <w:tcW w:w="1702" w:type="dxa"/>
            <w:vMerge/>
            <w:shd w:val="clear" w:color="auto" w:fill="auto"/>
          </w:tcPr>
          <w:p w14:paraId="22F44C65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12384AD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1AA5AD5A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60" w:type="dxa"/>
            <w:shd w:val="clear" w:color="auto" w:fill="auto"/>
          </w:tcPr>
          <w:p w14:paraId="60F81AA1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29227086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29439CF2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21E8C8B5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Кількість, шт.</w:t>
            </w:r>
          </w:p>
        </w:tc>
      </w:tr>
      <w:tr w:rsidR="00504A82" w:rsidRPr="00504A82" w14:paraId="24790CD6" w14:textId="77777777" w:rsidTr="006A65CA">
        <w:trPr>
          <w:trHeight w:val="237"/>
        </w:trPr>
        <w:tc>
          <w:tcPr>
            <w:tcW w:w="1702" w:type="dxa"/>
            <w:shd w:val="clear" w:color="auto" w:fill="auto"/>
          </w:tcPr>
          <w:p w14:paraId="16B3A7F1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 xml:space="preserve">Visa Classic/ </w:t>
            </w:r>
          </w:p>
          <w:p w14:paraId="053E919C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shd w:val="clear" w:color="auto" w:fill="auto"/>
          </w:tcPr>
          <w:p w14:paraId="4C64C4F8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50E539E1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4EA5A23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14:paraId="2D90ABAF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217308B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6EAE0169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</w:t>
            </w:r>
          </w:p>
        </w:tc>
      </w:tr>
    </w:tbl>
    <w:p w14:paraId="0B801AE3" w14:textId="0D497B0A" w:rsidR="00E957EB" w:rsidRPr="005379E3" w:rsidRDefault="00504A82" w:rsidP="00CB31CE">
      <w:pPr>
        <w:spacing w:line="360" w:lineRule="auto"/>
        <w:jc w:val="both"/>
        <w:rPr>
          <w:b/>
          <w:szCs w:val="28"/>
        </w:rPr>
      </w:pPr>
      <w:r w:rsidRPr="00504A82">
        <w:rPr>
          <w:sz w:val="20"/>
        </w:rPr>
        <w:t xml:space="preserve">           </w:t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25EF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5076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B31CE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4</cp:revision>
  <dcterms:created xsi:type="dcterms:W3CDTF">2021-06-11T11:54:00Z</dcterms:created>
  <dcterms:modified xsi:type="dcterms:W3CDTF">2021-06-11T11:59:00Z</dcterms:modified>
</cp:coreProperties>
</file>