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03AD70FE"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EE5AD1">
              <w:rPr>
                <w:rFonts w:eastAsiaTheme="minorHAnsi"/>
                <w:sz w:val="24"/>
                <w:szCs w:val="24"/>
                <w:lang w:eastAsia="en-US"/>
              </w:rPr>
              <w:t>01</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EE5AD1">
              <w:rPr>
                <w:rFonts w:eastAsiaTheme="minorHAnsi"/>
                <w:sz w:val="24"/>
                <w:szCs w:val="24"/>
                <w:lang w:eastAsia="en-US"/>
              </w:rPr>
              <w:t>липня</w:t>
            </w:r>
            <w:r w:rsidR="001F6C69" w:rsidRPr="00556F6C">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D68AAFB" w14:textId="1A3CE7D8" w:rsidR="00DB0425" w:rsidRPr="008A3644" w:rsidRDefault="00DB0425">
            <w:pPr>
              <w:pStyle w:val="afe"/>
              <w:rPr>
                <w:sz w:val="24"/>
                <w:szCs w:val="24"/>
              </w:rPr>
            </w:pPr>
            <w:r w:rsidRPr="008A3644">
              <w:rPr>
                <w:sz w:val="24"/>
                <w:szCs w:val="24"/>
              </w:rPr>
              <w:t>Протокол №</w:t>
            </w:r>
            <w:r w:rsidR="00D83FEB" w:rsidRPr="008A3644">
              <w:rPr>
                <w:sz w:val="24"/>
                <w:szCs w:val="24"/>
              </w:rPr>
              <w:t xml:space="preserve"> </w:t>
            </w:r>
            <w:r w:rsidR="00EE5AD1" w:rsidRPr="008A3644">
              <w:rPr>
                <w:sz w:val="24"/>
                <w:szCs w:val="24"/>
              </w:rPr>
              <w:t>62</w:t>
            </w:r>
            <w:r w:rsidR="00A82E2E" w:rsidRPr="008A3644">
              <w:rPr>
                <w:sz w:val="24"/>
                <w:szCs w:val="24"/>
              </w:rPr>
              <w:t xml:space="preserve"> </w:t>
            </w:r>
            <w:r w:rsidRPr="008A3644">
              <w:rPr>
                <w:sz w:val="24"/>
                <w:szCs w:val="24"/>
              </w:rPr>
              <w:t>від «</w:t>
            </w:r>
            <w:r w:rsidR="00EE5AD1" w:rsidRPr="008A3644">
              <w:rPr>
                <w:sz w:val="24"/>
                <w:szCs w:val="24"/>
              </w:rPr>
              <w:t>16</w:t>
            </w:r>
            <w:r w:rsidRPr="008A3644">
              <w:rPr>
                <w:sz w:val="24"/>
                <w:szCs w:val="24"/>
              </w:rPr>
              <w:t>»</w:t>
            </w:r>
            <w:r w:rsidR="001850A3" w:rsidRPr="008A3644">
              <w:rPr>
                <w:sz w:val="24"/>
                <w:szCs w:val="24"/>
              </w:rPr>
              <w:t xml:space="preserve"> </w:t>
            </w:r>
            <w:r w:rsidR="0037455E" w:rsidRPr="008A3644">
              <w:rPr>
                <w:sz w:val="24"/>
                <w:szCs w:val="24"/>
                <w:lang w:val="ru-RU"/>
              </w:rPr>
              <w:t>червня</w:t>
            </w:r>
            <w:r w:rsidR="00912CE9" w:rsidRPr="008A3644">
              <w:rPr>
                <w:sz w:val="24"/>
                <w:szCs w:val="24"/>
              </w:rPr>
              <w:t xml:space="preserve"> </w:t>
            </w:r>
            <w:r w:rsidRPr="008A3644">
              <w:rPr>
                <w:sz w:val="24"/>
                <w:szCs w:val="24"/>
              </w:rPr>
              <w:t>20</w:t>
            </w:r>
            <w:r w:rsidR="001D11DC" w:rsidRPr="008A3644">
              <w:rPr>
                <w:sz w:val="24"/>
                <w:szCs w:val="24"/>
              </w:rPr>
              <w:t>2</w:t>
            </w:r>
            <w:r w:rsidR="00F32BF6" w:rsidRPr="008A3644">
              <w:rPr>
                <w:sz w:val="24"/>
                <w:szCs w:val="24"/>
              </w:rPr>
              <w:t>1</w:t>
            </w:r>
            <w:r w:rsidRPr="008A3644">
              <w:rPr>
                <w:sz w:val="24"/>
                <w:szCs w:val="24"/>
              </w:rPr>
              <w:t xml:space="preserve"> року</w:t>
            </w:r>
          </w:p>
          <w:p w14:paraId="43742EFC" w14:textId="12632B79" w:rsidR="00DB0425" w:rsidRPr="008A3644" w:rsidRDefault="008A3644">
            <w:pPr>
              <w:pStyle w:val="afe"/>
              <w:rPr>
                <w:sz w:val="24"/>
                <w:szCs w:val="24"/>
              </w:rPr>
            </w:pPr>
            <w:r w:rsidRPr="008A3644">
              <w:rPr>
                <w:sz w:val="24"/>
                <w:szCs w:val="24"/>
              </w:rPr>
              <w:t>Протокол № 66 від «24» червня 2021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8A3644">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8A3644">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8A3644">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8A3644"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8A364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8A3644">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8A3644">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77777777"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Під договором банківського рахунку мається на увазі цей Договір та відповідна Угода-заява до нього.</w:t>
      </w:r>
    </w:p>
    <w:p w14:paraId="34F1D6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lastRenderedPageBreak/>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w:t>
      </w:r>
      <w:r w:rsidRPr="00DF3E0E">
        <w:rPr>
          <w:b w:val="0"/>
          <w:sz w:val="20"/>
        </w:rPr>
        <w:lastRenderedPageBreak/>
        <w:t>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w:t>
      </w:r>
      <w:r w:rsidRPr="00DF3E0E">
        <w:rPr>
          <w:sz w:val="20"/>
          <w:szCs w:val="20"/>
        </w:rPr>
        <w:lastRenderedPageBreak/>
        <w:t>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 xml:space="preserve">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w:t>
      </w:r>
      <w:r w:rsidRPr="00721F47">
        <w:rPr>
          <w:sz w:val="20"/>
          <w:szCs w:val="20"/>
        </w:rPr>
        <w:lastRenderedPageBreak/>
        <w:t>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lastRenderedPageBreak/>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4D37DA8D"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E966B1" w:rsidRPr="002B3614">
        <w:rPr>
          <w:sz w:val="20"/>
          <w:szCs w:val="20"/>
        </w:rPr>
        <w:t>ідентифікована та верифікована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2E81AF59"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 xml:space="preserve">анку рахунок, цей клієнт ідентифікований та верифікований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34412100" w:rsidR="00C84E78" w:rsidRPr="00DF3E0E" w:rsidRDefault="00C84E78" w:rsidP="008648EC">
      <w:pPr>
        <w:ind w:firstLine="540"/>
        <w:jc w:val="both"/>
        <w:rPr>
          <w:sz w:val="20"/>
          <w:szCs w:val="20"/>
          <w:lang w:eastAsia="uk-UA"/>
        </w:rPr>
      </w:pPr>
      <w:r w:rsidRPr="00DF3E0E">
        <w:rPr>
          <w:sz w:val="20"/>
          <w:szCs w:val="20"/>
          <w:lang w:eastAsia="uk-UA"/>
        </w:rPr>
        <w:t xml:space="preserve">3) </w:t>
      </w:r>
      <w:r w:rsidR="008A3644" w:rsidRPr="008A3644">
        <w:rPr>
          <w:sz w:val="20"/>
          <w:szCs w:val="20"/>
          <w:lang w:eastAsia="uk-UA"/>
        </w:rPr>
        <w:t>за депозитними сертифікатами банків;</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lastRenderedPageBreak/>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lastRenderedPageBreak/>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r w:rsidRPr="001A3AB2">
        <w:rPr>
          <w:color w:val="333333"/>
          <w:sz w:val="20"/>
          <w:szCs w:val="20"/>
          <w:lang w:eastAsia="uk-UA"/>
        </w:rPr>
        <w:t xml:space="preserve">анком </w:t>
      </w:r>
      <w:r w:rsidR="00704EC2">
        <w:rPr>
          <w:color w:val="333333"/>
          <w:sz w:val="20"/>
          <w:szCs w:val="20"/>
          <w:lang w:val="ru-RU" w:eastAsia="uk-UA"/>
        </w:rPr>
        <w:t>Д</w:t>
      </w:r>
      <w:r w:rsidRPr="001A3AB2">
        <w:rPr>
          <w:color w:val="333333"/>
          <w:sz w:val="20"/>
          <w:szCs w:val="20"/>
          <w:lang w:eastAsia="uk-UA"/>
        </w:rPr>
        <w:t>оговор</w:t>
      </w:r>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r w:rsidRPr="001A3AB2">
        <w:rPr>
          <w:color w:val="333333"/>
          <w:sz w:val="20"/>
          <w:szCs w:val="20"/>
          <w:lang w:eastAsia="uk-UA"/>
        </w:rPr>
        <w:t>анку.</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r w:rsidRPr="001A3AB2">
        <w:rPr>
          <w:color w:val="333333"/>
          <w:sz w:val="20"/>
          <w:szCs w:val="20"/>
          <w:lang w:eastAsia="uk-UA"/>
        </w:rPr>
        <w:t>овідку</w:t>
      </w:r>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w:t>
      </w:r>
      <w:r w:rsidRPr="001A3AB2">
        <w:rPr>
          <w:color w:val="333333"/>
          <w:sz w:val="20"/>
          <w:szCs w:val="20"/>
          <w:lang w:eastAsia="uk-UA"/>
        </w:rPr>
        <w:lastRenderedPageBreak/>
        <w:t>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реквізитів Фонду (місцезнаходження, номер телефону "гарячої лінії", адреса офіційного вебсайту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забезпечити розміщення на вебсайті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забезпечити створення окремого розділу на вебсайті банку з інформацією про функціонування системи гарантування вкладів фізичних осіб, посилання на який має бути розміщено на головній сторінці вебсайту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r w:rsidRPr="001A3AB2">
        <w:rPr>
          <w:color w:val="333333"/>
          <w:sz w:val="20"/>
          <w:szCs w:val="20"/>
          <w:lang w:eastAsia="uk-UA"/>
        </w:rPr>
        <w:t>скан-копії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посилання на офіційного вебсайту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(doc, docx, rtf), Microsoft Excel (xls, xlsx), Adobe Acrobat з розпізнаним текстом (pdf));</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(Adobe Acrobat (pdf), TIFF, JPEG (tif, jpg), роздільною здатністю не менше ніж 300 dpi);</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lastRenderedPageBreak/>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lastRenderedPageBreak/>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w:t>
      </w:r>
      <w:r w:rsidRPr="00DF3E0E">
        <w:rPr>
          <w:sz w:val="20"/>
        </w:rPr>
        <w:lastRenderedPageBreak/>
        <w:t>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lastRenderedPageBreak/>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w:t>
      </w:r>
      <w:r w:rsidRPr="00DF3E0E">
        <w:rPr>
          <w:sz w:val="20"/>
        </w:rPr>
        <w:lastRenderedPageBreak/>
        <w:t>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w:t>
      </w:r>
      <w:r w:rsidRPr="00DF3E0E">
        <w:rPr>
          <w:sz w:val="20"/>
          <w:szCs w:val="20"/>
        </w:rPr>
        <w:lastRenderedPageBreak/>
        <w:t xml:space="preserve">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w:t>
      </w:r>
      <w:r w:rsidRPr="00DF3E0E">
        <w:rPr>
          <w:sz w:val="20"/>
          <w:szCs w:val="20"/>
        </w:rPr>
        <w:lastRenderedPageBreak/>
        <w:t>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86"/>
    </w:p>
    <w:p w14:paraId="77B9896F" w14:textId="7AEF6DDD"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w:t>
      </w:r>
      <w:r w:rsidR="001D653F" w:rsidRPr="00DF3E0E">
        <w:rPr>
          <w:spacing w:val="-1"/>
          <w:sz w:val="20"/>
          <w:szCs w:val="20"/>
        </w:rPr>
        <w:lastRenderedPageBreak/>
        <w:t>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 xml:space="preserve">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w:t>
      </w:r>
      <w:r>
        <w:rPr>
          <w:sz w:val="20"/>
          <w:szCs w:val="20"/>
        </w:rPr>
        <w:lastRenderedPageBreak/>
        <w:t>(запит)»,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lastRenderedPageBreak/>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lastRenderedPageBreak/>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77777777"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ідентифікації 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lastRenderedPageBreak/>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77777777"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xml:space="preserve">)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lastRenderedPageBreak/>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77777777"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 xml:space="preserve">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w:t>
      </w:r>
      <w:r w:rsidRPr="00DF3E0E">
        <w:rPr>
          <w:sz w:val="20"/>
          <w:szCs w:val="20"/>
        </w:rPr>
        <w:lastRenderedPageBreak/>
        <w:t>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DF3E0E"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2C28287A"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Поточний рахунок з використанням ПК шляхом перерахуванням грошей зі своїх поточних рахунків, відкритих в Банку, </w:t>
      </w:r>
      <w:r w:rsidRPr="00DF3E0E">
        <w:rPr>
          <w:sz w:val="20"/>
          <w:szCs w:val="20"/>
        </w:rPr>
        <w:t>за рахунок наданого Банком кредиту, за рахунок процентів, нарахованих на залишок коштів на Поточному рахунку з використанням ПК. Забороняється поповнення Поточного рахунку з використанням ПК контрагентами Клієнта.</w:t>
      </w:r>
    </w:p>
    <w:p w14:paraId="1BA589DE"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DF3E0E" w:rsidRDefault="003846E2" w:rsidP="003846E2">
      <w:pPr>
        <w:spacing w:line="236" w:lineRule="auto"/>
        <w:ind w:firstLine="708"/>
        <w:jc w:val="both"/>
        <w:rPr>
          <w:sz w:val="20"/>
          <w:szCs w:val="20"/>
        </w:rPr>
      </w:pPr>
      <w:r w:rsidRPr="00DF3E0E">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DF3E0E" w:rsidRDefault="003846E2" w:rsidP="003846E2">
      <w:pPr>
        <w:spacing w:line="236" w:lineRule="auto"/>
        <w:ind w:firstLine="708"/>
        <w:jc w:val="both"/>
        <w:rPr>
          <w:sz w:val="20"/>
          <w:szCs w:val="20"/>
        </w:rPr>
      </w:pPr>
      <w:r w:rsidRPr="00DF3E0E">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w:t>
      </w:r>
      <w:r w:rsidRPr="00DF3E0E">
        <w:rPr>
          <w:sz w:val="20"/>
          <w:szCs w:val="20"/>
        </w:rPr>
        <w:lastRenderedPageBreak/>
        <w:t>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w:t>
      </w:r>
      <w:r w:rsidRPr="00DF3E0E">
        <w:rPr>
          <w:sz w:val="20"/>
          <w:szCs w:val="20"/>
        </w:rPr>
        <w:lastRenderedPageBreak/>
        <w:t>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21E1A930"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4.3.52.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69245B25"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4.3.53. Встановлення курсу валют купівлі-продажу, обміну іноземної валюти здійснюється Банком щоденно з дотриманням вимог нормативно-правових актів  Національного банку України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обмін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32C989F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180F8BCF"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w:t>
      </w:r>
      <w:r w:rsidRPr="00DF3E0E">
        <w:rPr>
          <w:sz w:val="20"/>
          <w:szCs w:val="20"/>
          <w:lang w:val="uk-UA"/>
        </w:rPr>
        <w:lastRenderedPageBreak/>
        <w:t>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lastRenderedPageBreak/>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lastRenderedPageBreak/>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lastRenderedPageBreak/>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lastRenderedPageBreak/>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w:t>
      </w:r>
      <w:r w:rsidRPr="00DF3E0E">
        <w:rPr>
          <w:sz w:val="20"/>
          <w:szCs w:val="20"/>
          <w:lang w:val="uk-UA"/>
        </w:rPr>
        <w:lastRenderedPageBreak/>
        <w:t xml:space="preserve">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lastRenderedPageBreak/>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 xml:space="preserve">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w:t>
      </w:r>
      <w:r w:rsidRPr="00DF3E0E">
        <w:rPr>
          <w:sz w:val="20"/>
          <w:szCs w:val="20"/>
          <w:lang w:val="uk-UA"/>
        </w:rPr>
        <w:lastRenderedPageBreak/>
        <w:t>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77777777"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w:t>
      </w:r>
      <w:r w:rsidRPr="00DF3E0E">
        <w:rPr>
          <w:sz w:val="20"/>
          <w:szCs w:val="20"/>
        </w:rPr>
        <w:lastRenderedPageBreak/>
        <w:t>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w:t>
      </w:r>
      <w:r w:rsidRPr="00DF3E0E">
        <w:rPr>
          <w:sz w:val="20"/>
          <w:szCs w:val="20"/>
        </w:rPr>
        <w:lastRenderedPageBreak/>
        <w:t>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lastRenderedPageBreak/>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77777777" w:rsidR="003846E2" w:rsidRPr="00DF3E0E" w:rsidRDefault="003846E2" w:rsidP="003846E2">
      <w:pPr>
        <w:pStyle w:val="af5"/>
        <w:ind w:firstLine="708"/>
        <w:jc w:val="both"/>
      </w:pPr>
      <w:r w:rsidRPr="00DF3E0E">
        <w:t>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ідентифікувати та верифікувати 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w:t>
      </w:r>
      <w:r w:rsidRPr="00DF3E0E">
        <w:rPr>
          <w:sz w:val="20"/>
          <w:szCs w:val="20"/>
          <w:lang w:eastAsia="ru-RU"/>
        </w:rPr>
        <w:lastRenderedPageBreak/>
        <w:t>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 xml:space="preserve">4.4.16.3. В разі виявлення Банком розбіжностей між загальною сумою, яка призначена для </w:t>
      </w:r>
      <w:r w:rsidRPr="00DF3E0E">
        <w:rPr>
          <w:sz w:val="20"/>
          <w:szCs w:val="20"/>
        </w:rPr>
        <w:lastRenderedPageBreak/>
        <w:t>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w:t>
      </w:r>
      <w:r w:rsidR="00B5515E" w:rsidRPr="004465BC">
        <w:rPr>
          <w:sz w:val="20"/>
          <w:szCs w:val="20"/>
          <w:lang w:val="uk-UA"/>
        </w:rPr>
        <w:lastRenderedPageBreak/>
        <w:t xml:space="preserve">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w:t>
      </w:r>
      <w:r w:rsidR="00D1195F" w:rsidRPr="004465BC">
        <w:rPr>
          <w:rStyle w:val="rvts0"/>
          <w:color w:val="000000"/>
          <w:sz w:val="20"/>
          <w:szCs w:val="20"/>
        </w:rPr>
        <w:lastRenderedPageBreak/>
        <w:t xml:space="preserve">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або іншого документа, що 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lastRenderedPageBreak/>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 xml:space="preserve">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w:t>
      </w:r>
      <w:r w:rsidR="00C0447C" w:rsidRPr="004465BC">
        <w:rPr>
          <w:spacing w:val="2"/>
          <w:sz w:val="20"/>
          <w:szCs w:val="20"/>
          <w:lang w:val="uk-UA"/>
        </w:rPr>
        <w:lastRenderedPageBreak/>
        <w:t>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lastRenderedPageBreak/>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w:t>
      </w:r>
      <w:r w:rsidRPr="00DF3E0E">
        <w:rPr>
          <w:sz w:val="20"/>
          <w:szCs w:val="20"/>
          <w:lang w:val="uk-UA"/>
        </w:rPr>
        <w:lastRenderedPageBreak/>
        <w:t>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lastRenderedPageBreak/>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w:t>
      </w:r>
      <w:r w:rsidRPr="00DF3E0E">
        <w:rPr>
          <w:color w:val="auto"/>
          <w:sz w:val="20"/>
          <w:szCs w:val="20"/>
          <w:lang w:val="uk-UA"/>
        </w:rPr>
        <w:lastRenderedPageBreak/>
        <w:t>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lastRenderedPageBreak/>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lastRenderedPageBreak/>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lastRenderedPageBreak/>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 xml:space="preserve">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w:t>
      </w:r>
      <w:r w:rsidRPr="00DF3E0E">
        <w:rPr>
          <w:sz w:val="20"/>
          <w:szCs w:val="20"/>
        </w:rPr>
        <w:lastRenderedPageBreak/>
        <w:t>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lastRenderedPageBreak/>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DB6365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 xml:space="preserve">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w:t>
      </w:r>
      <w:r w:rsidRPr="00DB6655">
        <w:rPr>
          <w:sz w:val="20"/>
          <w:szCs w:val="20"/>
        </w:rPr>
        <w:lastRenderedPageBreak/>
        <w:t>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lastRenderedPageBreak/>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5272522F" w14:textId="77777777" w:rsidR="001818E3" w:rsidRPr="00772D04" w:rsidRDefault="001818E3" w:rsidP="001818E3">
      <w:pPr>
        <w:pStyle w:val="Default"/>
        <w:ind w:firstLine="708"/>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w:t>
      </w:r>
      <w:r>
        <w:rPr>
          <w:sz w:val="20"/>
          <w:szCs w:val="20"/>
          <w:lang w:val="uk-UA"/>
        </w:rPr>
        <w:t>15</w:t>
      </w:r>
      <w:r w:rsidRPr="00772D04">
        <w:rPr>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 xml:space="preserve">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w:t>
      </w:r>
      <w:r w:rsidRPr="00DF3E0E">
        <w:rPr>
          <w:sz w:val="20"/>
          <w:szCs w:val="20"/>
        </w:rPr>
        <w:lastRenderedPageBreak/>
        <w:t>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7" w:name="_Toc31214382"/>
      <w:r w:rsidRPr="00DF3E0E">
        <w:rPr>
          <w:b/>
          <w:caps/>
          <w:sz w:val="20"/>
          <w:szCs w:val="20"/>
          <w:lang w:val="uk-UA"/>
        </w:rPr>
        <w:t>10. Інші умови Договору</w:t>
      </w:r>
      <w:bookmarkEnd w:id="12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8" w:name="_Toc6300206"/>
      <w:bookmarkStart w:id="129" w:name="_Toc6300234"/>
      <w:bookmarkStart w:id="130" w:name="_Toc6300207"/>
      <w:bookmarkStart w:id="131" w:name="_Toc6300235"/>
      <w:bookmarkStart w:id="132" w:name="_Toc6300236"/>
      <w:bookmarkEnd w:id="128"/>
      <w:bookmarkEnd w:id="129"/>
      <w:bookmarkEnd w:id="130"/>
      <w:bookmarkEnd w:id="13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lastRenderedPageBreak/>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0"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5"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6"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0"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0"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2"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3"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4"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5"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0"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6"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1"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7"/>
  </w:num>
  <w:num w:numId="2">
    <w:abstractNumId w:val="28"/>
  </w:num>
  <w:num w:numId="3">
    <w:abstractNumId w:val="30"/>
  </w:num>
  <w:num w:numId="4">
    <w:abstractNumId w:val="3"/>
  </w:num>
  <w:num w:numId="5">
    <w:abstractNumId w:val="38"/>
  </w:num>
  <w:num w:numId="6">
    <w:abstractNumId w:val="62"/>
  </w:num>
  <w:num w:numId="7">
    <w:abstractNumId w:val="60"/>
  </w:num>
  <w:num w:numId="8">
    <w:abstractNumId w:val="22"/>
  </w:num>
  <w:num w:numId="9">
    <w:abstractNumId w:val="57"/>
  </w:num>
  <w:num w:numId="10">
    <w:abstractNumId w:val="76"/>
  </w:num>
  <w:num w:numId="11">
    <w:abstractNumId w:val="58"/>
  </w:num>
  <w:num w:numId="12">
    <w:abstractNumId w:val="50"/>
  </w:num>
  <w:num w:numId="13">
    <w:abstractNumId w:val="9"/>
  </w:num>
  <w:num w:numId="14">
    <w:abstractNumId w:val="18"/>
  </w:num>
  <w:num w:numId="15">
    <w:abstractNumId w:val="8"/>
  </w:num>
  <w:num w:numId="16">
    <w:abstractNumId w:val="47"/>
  </w:num>
  <w:num w:numId="17">
    <w:abstractNumId w:val="15"/>
  </w:num>
  <w:num w:numId="18">
    <w:abstractNumId w:val="61"/>
  </w:num>
  <w:num w:numId="19">
    <w:abstractNumId w:val="25"/>
  </w:num>
  <w:num w:numId="20">
    <w:abstractNumId w:val="36"/>
  </w:num>
  <w:num w:numId="21">
    <w:abstractNumId w:val="72"/>
  </w:num>
  <w:num w:numId="22">
    <w:abstractNumId w:val="46"/>
  </w:num>
  <w:num w:numId="23">
    <w:abstractNumId w:val="52"/>
  </w:num>
  <w:num w:numId="24">
    <w:abstractNumId w:val="71"/>
  </w:num>
  <w:num w:numId="25">
    <w:abstractNumId w:val="12"/>
  </w:num>
  <w:num w:numId="26">
    <w:abstractNumId w:val="65"/>
  </w:num>
  <w:num w:numId="27">
    <w:abstractNumId w:val="70"/>
  </w:num>
  <w:num w:numId="28">
    <w:abstractNumId w:val="17"/>
  </w:num>
  <w:num w:numId="29">
    <w:abstractNumId w:val="23"/>
  </w:num>
  <w:num w:numId="30">
    <w:abstractNumId w:val="31"/>
  </w:num>
  <w:num w:numId="31">
    <w:abstractNumId w:val="40"/>
  </w:num>
  <w:num w:numId="32">
    <w:abstractNumId w:val="75"/>
  </w:num>
  <w:num w:numId="33">
    <w:abstractNumId w:val="56"/>
  </w:num>
  <w:num w:numId="34">
    <w:abstractNumId w:val="73"/>
  </w:num>
  <w:num w:numId="35">
    <w:abstractNumId w:val="69"/>
  </w:num>
  <w:num w:numId="36">
    <w:abstractNumId w:val="14"/>
  </w:num>
  <w:num w:numId="37">
    <w:abstractNumId w:val="5"/>
  </w:num>
  <w:num w:numId="38">
    <w:abstractNumId w:val="20"/>
  </w:num>
  <w:num w:numId="39">
    <w:abstractNumId w:val="49"/>
  </w:num>
  <w:num w:numId="40">
    <w:abstractNumId w:val="67"/>
  </w:num>
  <w:num w:numId="41">
    <w:abstractNumId w:val="2"/>
  </w:num>
  <w:num w:numId="42">
    <w:abstractNumId w:val="10"/>
  </w:num>
  <w:num w:numId="43">
    <w:abstractNumId w:val="33"/>
  </w:num>
  <w:num w:numId="44">
    <w:abstractNumId w:val="13"/>
  </w:num>
  <w:num w:numId="45">
    <w:abstractNumId w:val="63"/>
  </w:num>
  <w:num w:numId="46">
    <w:abstractNumId w:val="48"/>
  </w:num>
  <w:num w:numId="47">
    <w:abstractNumId w:val="64"/>
  </w:num>
  <w:num w:numId="48">
    <w:abstractNumId w:val="21"/>
  </w:num>
  <w:num w:numId="49">
    <w:abstractNumId w:val="4"/>
  </w:num>
  <w:num w:numId="50">
    <w:abstractNumId w:val="74"/>
  </w:num>
  <w:num w:numId="51">
    <w:abstractNumId w:val="44"/>
  </w:num>
  <w:num w:numId="52">
    <w:abstractNumId w:val="34"/>
  </w:num>
  <w:num w:numId="53">
    <w:abstractNumId w:val="16"/>
  </w:num>
  <w:num w:numId="54">
    <w:abstractNumId w:val="53"/>
  </w:num>
  <w:num w:numId="55">
    <w:abstractNumId w:val="7"/>
  </w:num>
  <w:num w:numId="56">
    <w:abstractNumId w:val="24"/>
  </w:num>
  <w:num w:numId="57">
    <w:abstractNumId w:val="66"/>
  </w:num>
  <w:num w:numId="58">
    <w:abstractNumId w:val="19"/>
  </w:num>
  <w:num w:numId="59">
    <w:abstractNumId w:val="55"/>
  </w:num>
  <w:num w:numId="60">
    <w:abstractNumId w:val="6"/>
  </w:num>
  <w:num w:numId="61">
    <w:abstractNumId w:val="45"/>
  </w:num>
  <w:num w:numId="62">
    <w:abstractNumId w:val="35"/>
  </w:num>
  <w:num w:numId="63">
    <w:abstractNumId w:val="42"/>
  </w:num>
  <w:num w:numId="64">
    <w:abstractNumId w:val="39"/>
  </w:num>
  <w:num w:numId="65">
    <w:abstractNumId w:val="32"/>
  </w:num>
  <w:num w:numId="66">
    <w:abstractNumId w:val="51"/>
  </w:num>
  <w:num w:numId="67">
    <w:abstractNumId w:val="54"/>
  </w:num>
  <w:num w:numId="68">
    <w:abstractNumId w:val="51"/>
  </w:num>
  <w:num w:numId="69">
    <w:abstractNumId w:val="26"/>
  </w:num>
  <w:num w:numId="70">
    <w:abstractNumId w:val="41"/>
  </w:num>
  <w:num w:numId="71">
    <w:abstractNumId w:val="27"/>
  </w:num>
  <w:num w:numId="72">
    <w:abstractNumId w:val="43"/>
  </w:num>
  <w:num w:numId="73">
    <w:abstractNumId w:val="29"/>
  </w:num>
  <w:num w:numId="74">
    <w:abstractNumId w:val="11"/>
  </w:num>
  <w:num w:numId="75">
    <w:abstractNumId w:val="68"/>
  </w:num>
  <w:num w:numId="76">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455E"/>
    <w:rsid w:val="0037570D"/>
    <w:rsid w:val="003767A8"/>
    <w:rsid w:val="00376CE5"/>
    <w:rsid w:val="0037733A"/>
    <w:rsid w:val="00381E18"/>
    <w:rsid w:val="003825CE"/>
    <w:rsid w:val="0038291E"/>
    <w:rsid w:val="00383E92"/>
    <w:rsid w:val="003846E2"/>
    <w:rsid w:val="00384AEE"/>
    <w:rsid w:val="00384FEE"/>
    <w:rsid w:val="0038632F"/>
    <w:rsid w:val="00386AEF"/>
    <w:rsid w:val="0039183B"/>
    <w:rsid w:val="00392079"/>
    <w:rsid w:val="003921AC"/>
    <w:rsid w:val="00394147"/>
    <w:rsid w:val="00394255"/>
    <w:rsid w:val="00394821"/>
    <w:rsid w:val="00396F52"/>
    <w:rsid w:val="003A1B44"/>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F15"/>
    <w:rsid w:val="008215A2"/>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2.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3.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77</Pages>
  <Words>48813</Words>
  <Characters>330569</Characters>
  <Application>Microsoft Office Word</Application>
  <DocSecurity>0</DocSecurity>
  <Lines>2754</Lines>
  <Paragraphs>757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7</cp:revision>
  <cp:lastPrinted>2020-09-09T09:13:00Z</cp:lastPrinted>
  <dcterms:created xsi:type="dcterms:W3CDTF">2021-06-23T09:57:00Z</dcterms:created>
  <dcterms:modified xsi:type="dcterms:W3CDTF">2021-07-06T11:30:00Z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